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
<w:document
    xmlns:o="urn:schemas-microsoft-com:office:office"
    xmlns:r="http://schemas.openxmlformats.org/officeDocument/2006/relationships"
    xmlns:v="urn:schemas-microsoft-com:vml"
    xmlns:w="http://schemas.openxmlformats.org/wordprocessingml/2006/main"
    xmlns:w10="urn:schemas-microsoft-com:office:word"
    xmlns:wp="http://schemas.openxmlformats.org/drawingml/2006/wordprocessingDrawing"
    xmlns:wps="http://schemas.microsoft.com/office/word/2010/wordprocessingShape"
    xmlns:wpg="http://schemas.microsoft.com/office/word/2010/wordprocessingGroup"
    xmlns:mc="http://schemas.openxmlformats.org/markup-compatibility/2006"
    xmlns:wp14="http://schemas.microsoft.com/office/word/2010/wordprocessingDrawing"
    xmlns:w14="http://schemas.microsoft.com/office/word/2010/wordml" mc:Ignorable="w14 wp14">
    <w:body>
        <w:tbl>
            <w:tblPr>
                <w:tblStyle w:val="ac"/>
                <w:tblW w:w="10195" w:type="dxa"/>
                <w:jc w:val="left"/>
                <w:tblInd w:w="0" w:type="dxa"/>
                <w:tblLayout w:type="fixed"/>
                <w:tblCellMar>
                    <w:top w:w="0" w:type="dxa"/>
                    <w:left w:w="108" w:type="dxa"/>
                    <w:bottom w:w="0" w:type="dxa"/>
                    <w:right w:w="108" w:type="dxa"/>
                </w:tblCellMar>
                <w:tblLook w:firstRow="1" w:noVBand="1" w:lastRow="0" w:firstColumn="1" w:lastColumn="0" w:noHBand="0" w:val="04a0"/>
            </w:tblPr>
            <w:tblGrid>
                <w:gridCol w:w="3535"/>
                <w:gridCol w:w="6659"/>
            </w:tblGrid>
            <w:tr>
                <w:trPr></w:trPr>
                <w:tc>
                    <w:tcPr>
                        <w:tcW w:w="3535" w:type="dxa"/>
                        <w:tcBorders>
                            <w:top w:val="single" w:sz="24" w:space="0" w:color="4C94D8"/>
                            <w:left w:val="single" w:sz="4" w:space="0" w:color="FFFFFF"/>
                            <w:bottom w:val="single" w:sz="4" w:space="0" w:color="FFFFFF"/>
                            <w:right w:val="single" w:sz="4" w:space="0" w:color="FFFFFF"/>
                        </w:tcBorders>
                    </w:tcPr>
                    <w:p>
                        <w:pPr>
                            <w:pStyle w:val="Normal"/>
                            <w:widowControl w:val="false"/>
                            <w:suppressAutoHyphens w:val="true"/>
                            <w:spacing w:lineRule="auto" w:line="240" w:before="120" w:after="120"/>
                            <w:ind w:right="283" w:hanging="0"/>
                            <w:jc w:val="left"/>
                            <w:rPr>
                                <w:rFonts w:ascii="Aptos" w:hAnsi="Aptos" w:eastAsia="等线" w:cs=""/>
                                <w:kern w:val="2"/>
                                <w:sz w:val="24"/>
                                <w:szCs w:val="24"/>
                                <w:lang w:val="ru-RU" w:eastAsia="zh-CN" w:bidi="ar-SA"/>
                            </w:rPr>
                        </w:pPr>
                        <w:r>
                            <w:rPr></w:rPr>
                            <w:drawing>
                                <wp:inline distT="0" distB="0" distL="0" distR="0">
                                    <wp:extent cx="1609090" cy="1828800"/>
                                    <wp:effectExtent l="0" t="0" r="0" b="0"/>
                                    <wp:docPr id="1" name="Рисунок 5" descr=""></wp:docPr>
                                    <wp:cNvGraphicFramePr>
                                        <a:graphicFrameLocks
                                            xmlns:a="http://schemas.openxmlformats.org/drawingml/2006/main" noChangeAspect="1"/>
                                        </wp:cNvGraphicFramePr>
                                        <a:graphic
                                            xmlns:a="http://schemas.openxmlformats.org/drawingml/2006/main">
                                            <a:graphicData uri="http://schemas.openxmlformats.org/drawingml/2006/picture">
                                                <pic:pic
                                                    xmlns:pic="http://schemas.openxmlformats.org/drawingml/2006/picture">
                                                    <pic:nvPicPr>
                                                        <pic:cNvPr id="1" name="Рисунок 5" descr=""></pic:cNvPr>
                                                        <pic:cNvPicPr>
                                                            <a:picLocks noChangeAspect="1" noChangeArrowheads="1"/>
                                                        </pic:cNvPicPr>
                                                    </pic:nvPicPr>
                                                    <pic:blipFill>
                                                        <a:blip r:embed="rId2"></a:blip>
                                                        <a:srcRect l="0" t="5803" r="0" b="5803"/>
                                                        <a:stretch>
                                                            <a:fillRect/>
                                                        </a:stretch>
                                                    </pic:blipFill>
                                                    <pic:spPr bwMode="auto">
                                                        <a:xfrm>
                                                            <a:off x="0" y="0"/>
                                                            <a:ext cx="1609090" cy="1828800"/>
                                                        </a:xfrm>
                                                        <a:prstGeom prst="rect">
                                                            <a:avLst/>
                                                        </a:prstGeom>
                                                    </pic:spPr>
                                                </pic:pic>
                                            </a:graphicData>
                                        </a:graphic>
                                    </wp:inline>
                                </w:drawing>
                            </w:r>
                        </w:p>
                    </w:tc>
                    <w:tc>
                        <w:tcPr>
                            <w:tcW w:w="6659" w:type="dxa"/>
                            <w:vMerge w:val="restart"/>
                            <w:tcBorders>
                                <w:top w:val="single" w:sz="24" w:space="0" w:color="4C94D8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2"/>
                                <w:widowControl w:val="false"/>
                                <w:suppressAutoHyphens w:val="true"/>
                                <w:spacing w:lineRule="auto" w:line="240" w:before="160" w:after="80"/>
                                <w:jc w:val="righ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val="en-US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val="en-US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r>
                        </w:p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/>
                                <w:jc w:val="righ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宋爱丽</w:t>
                            </w:r>
                        </w:p>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您好！我叫宋爱丽，我是专业的俄语翻译。自2012年开始专业从事翻译工作，至今已6年多。主要从事建筑，工艺/设备，石油/天然气领域的翻译工作（5年）。从2018年起开始在IT领域工作。
工作之余接收各种领域的笔译翻译。能快速保质保量地完成各种性质的笔译工作。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很高兴能为您提供笔译服务(俄译汉).</w:t></w:r></w:p>
                    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right="283" w:hanging="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color w:val="7F7F7F" w:themeColor="text1" w:themeTint="80"/>
                                    <w:kern w:val="2"/>
                                    <w:sz w:val="22"/>
                                    <w:szCs w:val="22"/>
                                    <w:lang w:val="ru-RU" w:eastAsia="zh-CN" w:bidi="ar-SA"/>
                                </w:rPr>
                                <w:t>翻译员</w:t>
                            </w:r>
                        </w:p>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1"/>
                                <w:widowControl w:val="false"/>
                                <w:suppressAutoHyphens w:val="true"/>
                                <w:spacing w:lineRule="auto" w:line="240" w:before="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156082" w:themeColor="accent1"/>
                                    <w:sz w:val="28"/>
                                    <w:szCs w:val="28"/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语言</w:t>
                            </w:r>
                        </w:p>
                                <w:p>
            <w:pPr>
                <w:pStyle w:val="Style18"/>
                <w:widowControl w:val="false"/>
                <w:numPr>
                    <w:ilvl w:val="0"/>
                    <w:numId w:val="1"/>
                </w:numPr>
                <w:suppressAutoHyphens w:val="true"/>
                <w:spacing w:lineRule="auto" w:line="240" w:before="0" w:after="0"/>
                <w:ind w:left="567" w:hanging="360"/>
                <w:jc w:val="left"/>
                <w:rPr>
                    <w:rFonts w:ascii="Calibri" w:hAnsi="Calibri" w:cs="Calibri"/>
                    <w:lang w:bidi="ru-RU"/>
                </w:rPr>
            </w:pPr>
            <w:r>
                <w:rPr>
                    <w:rFonts w:eastAsia="等线" w:cs="Calibri" w:ascii="Calibri" w:hAnsi="Calibri"/>
                    <w:szCs w:val="24"/>
                    <w:lang w:val="ru-RU" w:bidi="ru-RU"/>
                </w:rPr>
                <w:t>俄语</w:t>
            </w:r>
        </w:p>
	        <w:p>
            <w:pPr>
                <w:pStyle w:val="Style18"/>
                <w:widowControl w:val="false"/>
                <w:numPr>
                    <w:ilvl w:val="0"/>
                    <w:numId w:val="1"/>
                </w:numPr>
                <w:suppressAutoHyphens w:val="true"/>
                <w:spacing w:lineRule="auto" w:line="240" w:before="0" w:after="0"/>
                <w:ind w:left="567" w:hanging="360"/>
                <w:jc w:val="left"/>
                <w:rPr>
                    <w:rFonts w:ascii="Calibri" w:hAnsi="Calibri" w:cs="Calibri"/>
                    <w:lang w:bidi="ru-RU"/>
                </w:rPr>
            </w:pPr>
            <w:r>
                <w:rPr>
                    <w:rFonts w:eastAsia="等线" w:cs="Calibri" w:ascii="Calibri" w:hAnsi="Calibri"/>
                    <w:szCs w:val="24"/>
                    <w:lang w:val="ru-RU" w:bidi="ru-RU"/>
                </w:rPr>
                <w:t>汉语</w:t>
            </w:r>
        </w:p>
	
                    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1"/>
                                <w:widowControl w:val="false"/>
                                <w:suppressAutoHyphens w:val="true"/>
                                <w:spacing w:lineRule="auto" w:line="240" w:before="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28"/>
                                    <w:szCs w:val="28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转移类型</w:t>
                            </w:r>
                        </w:p>
                        <w:p>
	<w:pPr>
		<w:pStyle w:val="Style18"/>
		<w:widowControl w:val="false"/>
		<w:numPr>
			<w:ilvl w:val="0"/>
			<w:numId w:val="1"/>
		</w:numPr>
		<w:suppressAutoHyphens w:val="true"/>
		<w:spacing w:lineRule="auto" w:line="240" w:before="0" w:after="0"/>
		<w:ind w:left="567" w:hanging="360"/>
		<w:jc w:val="left"/>
		<w:rPr>
			<w:rFonts w:ascii="Calibri" w:hAnsi="Calibri" w:cs="Calibri"/>
			<w:lang w:bidi="ru-RU"/>
		</w:rPr>
	</w:pPr>
	<w:r>
		<w:rPr>
			<w:rFonts w:eastAsia="等线" w:cs="Calibri" w:ascii="Calibri" w:hAnsi="Calibri"/>
			<w:szCs w:val="24"/>
			<w:lang w:val="ru-RU" w:bidi="ru-RU"/>
		</w:rPr>
		<w:t>笔译</w:t>
	</w:r>
</w:p>

                    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24" w:space="0" w:color="4C94D8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2"/>
                                <w:widowControl w:val="false"/>
                                <w:suppressAutoHyphens w:val="true"/>
                                <w:spacing w:lineRule="auto" w:line="240" w:before="16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题目</w:t>
                            </w:r>
                        </w:p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right="283" w:hanging="0"/>
                                <w:jc w:val="left"/>
                                <w:rPr>
                                    <w:rFonts w:ascii="Calibri Light" w:hAnsi="Calibri Light" w:cs="Calibri Light"/>
                                </w:rPr>
                            </w:pPr>
                            <w:r>
                                <w:rPr>
                                    <w:rFonts w:eastAsia="等线" w:cs="Calibri Light" w:ascii="Calibri Light" w:hAnsi="Calibri Light"/>
                                    <w:kern w:val="2"/>
                                    <w:sz w:val="22"/>
                                    <w:szCs w:val="22"/>
                                    <w:lang w:val="en-US" w:eastAsia="zh-CN" w:bidi="ar-SA"/>
                                </w:rPr>
                                <w:t>工艺/设备; 石油/天然气; IT /网站翻译/计算机; 冶金; 机械工程; 建筑; 农业; 化工; 电子/电气工程; 商业/金融;&nbsp;投资; 化妆品/香水; 法学; 食品; 物流/海关; 家具/木工; 会计; 服装/时装; 造纸;&nbsp;语言学; 营销; 教育; 保险; 造船; 印刷; 物理学; 体育文化与体育; 能源; 经济; 文学/艺术.</w:t>
                            </w:r>
                        </w:p>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</w:tbl>
            <w:p>
                <w:pPr>
                    <w:pStyle w:val="Normal"/>
                    <w:rPr></w:rPr>
                </w:pPr>
                <w:r>
                    <w:rPr></w:rPr>
                </w:r>
            </w:p>
            <w:p>
                <w:pPr>
                    <w:pStyle w:val="Normal"/>
                    <w:rPr></w:rPr>
                </w:pPr>
                <w:r>
                    <w:rPr></w:rPr>
                </w:r>
                <w:r>
                    <w:br w:type="page"/>
                </w:r>
            </w:p>
            <w:tbl>
                <w:tblPr>
                    <w:tblStyle w:val="ac"/>
                    <w:tblW w:w="10144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44"/>
                </w:tblGrid>
                <w:tr>
                    <w:trPr></w:trPr>
                    <w:tc>
                        <w:tcPr>
                            <w:tcW w:w="10144" w:type="dxa"/>
                            <w:tcBorders>
                                <w:top w:val="single" w:sz="24" w:space="0" w:color="FFFFFF"/>
                                <w:left w:val="single" w:sz="24" w:space="0" w:color="FFFFFF"/>
                                <w:bottom w:val="single" w:sz="24" w:space="0" w:color="4C94D8"/>
                                <w:right w:val="single" w:sz="24" w:space="0" w:color="FFFFFF"/>
                            </w:tcBorders>
                        </w:tcPr>
                        <w:p>
                            <w:pPr>
                                <w:pStyle w:val="Normal"/>
                                <w:pageBreakBefore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6"/>
                                    <w:szCs w:val="36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工作经验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亮语翻译公司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2018 年 - 至今</w:t>
            <w:br/>
        </w:r>
        <w:r>
            <w:rPr>
                <w:i/>
                <w:iCs/>
                <w:sz w:val="22"/>
                <w:szCs w:val="22"/>
            </w:rPr>
            <w:t>俄语翻译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笔译各种领域:</w:t></w:r>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工艺/设备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法律/公正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石油/天然气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IT /网站翻译/计算机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冶金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建筑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农业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电子/电气工程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商业/金融 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军事/国防工业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投资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化妆品/香水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法学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食品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物流/海关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家具/木工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会计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服装/时装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造纸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地质学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营销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社会学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保险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印刷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物理学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能源</w:t>
                        </w:r>
                    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中工国际工程有限公司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2012 年 - 2018 年 </w:t>
            <w:br/>
        </w:r>
        <w:r>
            <w:rPr>
                <w:i/>
                <w:iCs/>
                <w:sz w:val="22"/>
                <w:szCs w:val="22"/>
            </w:rPr>
            <w:t>俄语翻译</w:t>
        </w:r>
    </w:p>

	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口、笔译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工程、材料学等技术翻译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参与商务谈判、会议翻译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翻译各种采供、供货、施工分包合同</w:t>
                        </w:r>
                    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
            
            <w:tbl>
                <w:tblPr>
                    <w:tblStyle w:val="ac"/>
                    <w:tblW w:w="10144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44"/>
                </w:tblGrid>
                <w:tr>
                    <w:trPr></w:trPr>
                    <w:tc>
                        <w:tcPr>
                            <w:tcW w:w="10144" w:type="dxa"/>
                            <w:tcBorders>
                                <w:top w:val="single" w:sz="24" w:space="0" w:color="FFFFFF"/>
                                <w:left w:val="single" w:sz="24" w:space="0" w:color="FFFFFF"/>
                                <w:bottom w:val="single" w:sz="24" w:space="0" w:color="156082"/>
                                <w:right w:val="single" w:sz="2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6"/>
                                    <w:szCs w:val="36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教育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color w:val="808080" w:themeColor="background1" w:themeShade="80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color w:val="808080" w:themeColor="background1" w:themeShade="80"/>
                        <w:sz w:val="22"/>
                        <w:szCs w:val="22"/>
                        <w:lang w:bidi="ru-RU"/>
                    </w:rPr>
                </w:r>
            </w:p><w:p>
	<w:pPr>
		<w:pStyle w:val="Normal"/>
		<w:rPr>
			<w:rFonts w:ascii="Calibri" w:hAnsi="Calibri" w:cs="Calibri"/>
			<w:color w:themeColor="background1" w:themeShade="80" w:val="808080"/>
			<w:sz w:val="22"/>
			<w:szCs w:val="22"/>
			<w:lang w:bidi="ru-RU"/>
		</w:rPr>
	</w:pPr>
	<w:r>
		<w:rPr>
			<w:rFonts w:cs="Calibri" w:ascii="Calibri" w:hAnsi="Calibri"/>
			<w:color w:themeColor="background1" w:themeShade="80" w:val="808080"/>
			<w:sz w:val="22"/>
			<w:szCs w:val="22"/>
			<w:lang w:bidi="ru-RU"/>
		</w:rPr>
	</w:r>
</w:p>
<w:p>
	<w:pPr>
		<w:pStyle w:val="Normal"/>
		<w:rPr>
			<w:rFonts w:ascii="Calibri" w:hAnsi="Calibri" w:cs="Calibri"/>
			<w:sz w:val="22"/>
			<w:szCs w:val="22"/>
			<w:lang w:bidi="ru-RU"/>
		</w:rPr>
	</w:pPr>
	<w:r>
		<w:rPr></w:rPr>
		<w:t>学院: </w:t>
	</w:r>
	<w:r>
		<w:rPr></w:rPr>
		<w:t xml:space="preserve">广东外语外贸大学 (2010 年 – 2012 年)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院系: </w:t>
	</w:r>
	<w:r>
		<w:rPr></w:rPr>
		<w:t>外语系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专业: </w:t>
	</w:r>
	<w:r>
		<w:rPr></w:rPr>
		<w:t>俄语语言文学</w:t>
	</w:r>
</w:p>
<w:p>
	<w:pPr>
		<w:pStyle w:val="Normal"/>
		<w:rPr>
			<w:rFonts w:ascii="Calibri" w:hAnsi="Calibri" w:cs="Calibri"/>
			<w:color w:themeColor="background1" w:themeShade="80" w:val="808080"/>
			<w:sz w:val="22"/>
			<w:szCs w:val="22"/>
			<w:lang w:bidi="ru-RU"/>
		</w:rPr>
	</w:pPr>
	<w:r>
		<w:rPr>
			<w:rFonts w:cs="Calibri" w:ascii="Calibri" w:hAnsi="Calibri"/>
			<w:color w:themeColor="background1" w:themeShade="80" w:val="808080"/>
			<w:sz w:val="22"/>
			<w:szCs w:val="22"/>
			<w:lang w:bidi="ru-RU"/>
		</w:rPr>
	</w:r>
</w:p>
<w:p>
	<w:pPr>
		<w:pStyle w:val="Normal"/>
		<w:rPr>
			<w:rFonts w:ascii="Calibri" w:hAnsi="Calibri" w:cs="Calibri"/>
			<w:sz w:val="22"/>
			<w:szCs w:val="22"/>
			<w:lang w:bidi="ru-RU"/>
		</w:rPr>
	</w:pPr>
	<w:r>
		<w:rPr></w:rPr>
		<w:t>学院: </w:t>
	</w:r>
	<w:r>
		<w:rPr></w:rPr>
		<w:t xml:space="preserve">白俄罗斯国立大学 (2011 年 – 2012 年)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院系: </w:t>
	</w:r>
	<w:r>
		<w:rPr></w:rPr>
		<w:t>外语系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专业: </w:t>
	</w:r>
	<w:r>
		<w:rPr></w:rPr>
		<w:t>俄语语言文学</w:t>
	</w:r>
</w:p>
<w:p>
	<w:pPr>
		<w:pStyle w:val="Normal"/>
		<w:rPr>
			<w:rFonts w:ascii="Calibri" w:hAnsi="Calibri" w:cs="Calibri"/>
			<w:color w:themeColor="background1" w:themeShade="80" w:val="808080"/>
			<w:sz w:val="22"/>
			<w:szCs w:val="22"/>
			<w:lang w:bidi="ru-RU"/>
		</w:rPr>
	</w:pPr>
	<w:r>
		<w:rPr>
			<w:rFonts w:cs="Calibri" w:ascii="Calibri" w:hAnsi="Calibri"/>
			<w:color w:themeColor="background1" w:themeShade="80" w:val="808080"/>
			<w:sz w:val="22"/>
			<w:szCs w:val="22"/>
			<w:lang w:bidi="ru-RU"/>
		</w:rPr>
	</w:r>
</w:p>
<w:p>
	<w:pPr>
		<w:pStyle w:val="Normal"/>
		<w:rPr>
			<w:rFonts w:ascii="Calibri" w:hAnsi="Calibri" w:cs="Calibri"/>
			<w:sz w:val="22"/>
			<w:szCs w:val="22"/>
			<w:lang w:bidi="ru-RU"/>
		</w:rPr>
	</w:pPr>
	<w:r>
		<w:rPr></w:rPr>
		<w:t>学院: </w:t>
	</w:r>
	<w:r>
		<w:rPr></w:rPr>
		<w:t xml:space="preserve">兰州大学 (2006 年 – 2010 年)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院系: </w:t>
	</w:r>
	<w:r>
		<w:rPr></w:rPr>
		<w:t>外语系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专业: </w:t>
	</w:r>
	<w:r>
		<w:rPr></w:rPr>
		<w:t>俄语语言文学</w:t>
	</w:r>
</w:p>
<w:p>
	<w:pPr>
		<w:pStyle w:val="Normal"/>
		<w:rPr>
			<w:rFonts w:ascii="Calibri" w:hAnsi="Calibri" w:cs="Calibri"/>
			<w:sz w:val="22"/>
			<w:szCs w:val="22"/>
			<w:lang w:bidi="ru-RU"/>
		</w:rPr>
	</w:pPr>
	<w:r>
		<w:rPr>
			<w:rFonts w:cs="Calibri" w:ascii="Calibri" w:hAnsi="Calibri"/>
			<w:sz w:val="22"/>
			<w:szCs w:val="22"/>
			<w:lang w:bidi="ru-RU"/>
		</w:rPr>
	</w:r>
</w:p>
            
            <w:p>
                <w:pPr>
                    <w:pStyle w:val="Normal"/>
                    <w:rPr>
                        <w:rFonts w:ascii="Calibri" w:hAnsi="Calibri" w:cs="Calibri"/>
                        <w:b/>
                        <w:b/>
                        <w:bCs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b/>
                        <w:bCs/>
                        <w:sz w:val="22"/>
                        <w:szCs w:val="22"/>
                        <w:lang w:bidi="ru-RU"/>
                    </w:rPr>
                </w:r>
            </w:p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
            <w:tbl>
                <w:tblPr>
                    <w:tblStyle w:val="ac"/>
                    <w:tblW w:w="10195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95"/>
                </w:tblGrid>
                <w:tr>
                    <w:trPr></w:trPr>
                    <w:tc>
                        <w:tcPr>
                            <w:tcW w:w="10195" w:type="dxa"/>
                            <w:tcBorders>
                                <w:top w:val="nil"/>
                                <w:left w:val="nil"/>
                                <w:bottom w:val="single" w:sz="24" w:space="0" w:color="156082"/>
                                <w:right w:val="nil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center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2"/>
                                    <w:szCs w:val="32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请在我们的网站上查看翻译员的完整资料: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
            <w:tbl>
                <w:tblPr>
                    <w:tblStyle w:val="ac"/>
                    <w:tblpPr w:bottomFromText="0" w:horzAnchor="text" w:leftFromText="180" w:rightFromText="180" w:tblpX="0" w:tblpY="-71" w:topFromText="0" w:vertAnchor="text"/>
                    <w:tblW w:w="10195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2886"/>
                    <w:gridCol w:w="3936"/>
                    <w:gridCol w:w="3373"/>
                </w:tblGrid>
                <w:tr>
                    <w:trPr></w:trPr>
                    <w:tc>
                        <w:tcPr>
                            <w:tcW w:w="2886" w:type="dxa"/>
                            <w:tcBorders>
                                <w:top w:val="nil"/>
                                <w:left w:val="nil"/>
                                <w:bottom w:val="nil"/>
                                <w:right w:val="nil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</w:rPr>
                                <w:drawing>
                                    <wp:inline distT="0" distB="0" distL="0" distR="0">
                                        <wp:extent cx="1695450" cy="1695450"/>
                                        <wp:effectExtent l="0" t="0" r="0" b="0"/>
                                        <wp:docPr id="2" name="Рисунок 2" descr="Изображение выглядит как Графика, дизайн, круг, Шрифт&#10;&#10;Контент, сгенерированный ИИ, может содержать ошибки."></wp:docPr>
                                        <wp:cNvGraphicFramePr>
                                            <a:graphicFrameLocks
                                                xmlns:a="http://schemas.openxmlformats.org/drawingml/2006/main" noChangeAspect="1"/>
                                            </wp:cNvGraphicFramePr>
                                            <a:graphic
                                                xmlns:a="http://schemas.openxmlformats.org/drawingml/2006/main">
                                                <a:graphicData uri="http://schemas.openxmlformats.org/drawingml/2006/picture">
                                                    <pic:pic
                                                        xmlns:pic="http://schemas.openxmlformats.org/drawingml/2006/picture">
                                                        <pic:nvPicPr>
                                                            <pic:cNvPr id="2" name="Рисунок 2" descr="Изображение выглядит как Графика, дизайн, круг, Шрифт&#10;&#10;Контент, сгенерированный ИИ, может содержать ошибки."></pic:cNvPr>
                                                            <pic:cNvPicPr>
                                                                <a:picLocks noChangeAspect="1" noChangeArrowheads="1"/>
                                                            </pic:cNvPicPr>
                                                        </pic:nvPicPr>
                                                        <pic:blipFill>
                                                            <a:blip r:embed="rId3"></a:blip>
                                                            <a:stretch>
                                                                <a:fillRect/>
                                                            </a:stretch>
                                                        </pic:blipFill>
                                                        <pic:spPr bwMode="auto">
                                                            <a:xfrm>
                                                                <a:off x="0" y="0"/>
                                                                <a:ext cx="1695450" cy="1695450"/>
                                                            </a:xfrm>
                                                            <a:prstGeom prst="rect">
                                                                <a:avLst/>
                                                            </a:prstGeom>
                                                        </pic:spPr>
                                                    </pic:pic>
                                                </a:graphicData>
                                            </a:graphic>
                                        </wp:inline>
                                    </w:drawing>
                                </w:r>
                            </w:p>
                        </w:tc>
                        <w:tc>
                            <w:tcPr>
                                <w:tcW w:w="3936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    <w:vAlign w:val="center"/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color w:val="808080" w:themeColor="background1" w:themeShade="80"/>
                                        <w:kern w:val="2"/>
                                        <w:sz w:val="20"/>
                                        <w:szCs w:val="20"/>
                                        <w:lang w:val="ru-RU" w:eastAsia="zh-CN" w:bidi="ru-RU"/>
                                    </w:rPr>
                                    <w:t>如需在网站上查看翻译员的个人资料，请扫描二维码。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kern w:val="2"/>
                                        <w:sz w:val="22"/>
                                        <w:szCs w:val="22"/>
                                        <w:lang w:val="en-US" w:eastAsia="zh-CN" w:bidi="ru-RU"/>
                                    </w:rPr>
                                    <w:t>https://www.ezhongfanyi.com/translators/sun-aili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</w:tc>
                        <w:tc>
                            <w:tcPr>
                                <w:tcW w:w="3373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    <w:vAlign w:val="center"/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b/>
                                        <w:b/>
                                        <w:bCs/>
                                        <w:color w:val="0E2841" w:themeColor="text2"/>
                                        <w:sz w:val="32"/>
                                        <w:szCs w:val="32"/>
                                        <w:lang w:val="en-US" w:bidi="ru-RU"/>
                                        <w14:textFill>
                                            <w14:gradFill>
                                                <w14:gsLst>
                                                    <w14:gs w14:pos="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3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5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675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10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10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</w14:gsLst>
                                                <w14:lin w14:ang="8100000" w14:scaled="0"></w14:lin>
                                            </w14:gradFill>
                                        </w14:textFill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b/>
                                        <w:bCs/>
                                        <w:color w:val="0E2841" w:themeColor="text2"/>
                                        <w:kern w:val="2"/>
                                        <w:sz w:val="32"/>
                                        <w:szCs w:val="32"/>
                                        <w:lang w:val="ru-RU" w:eastAsia="zh-CN" w:bidi="ru-RU"/>
                                        <w14:textFill>
                                            <w14:gradFill>
                                                <w14:gsLst>
                                                    <w14:gs w14:pos="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3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5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675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10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10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</w14:gsLst>
                                                <w14:lin w14:ang="8100000" w14:scaled="0"></w14:lin>
                                            </w14:gradFill>
                                        </w14:textFill>
                                    </w:rPr>
                                    <w:t>亮语翻译公司</w:t>
                                    <w:br/>
                                </w:r>                              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76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b/>
                                        <w:b/>
                                        <w:bCs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b/>
                                        <w:bCs/>
                                        <w:kern w:val="2"/>
                                        <w:sz w:val="22"/>
                                        <w:szCs w:val="22"/>
                                        <w:lang w:val="en-US" w:eastAsia="zh-CN" w:bidi="ru-RU"/>
                                    </w:rPr>
                                    <w:t>ezhongfanyi.com</w:t>
                                    <w:br/>
                                    <w:t>liangyufanyi@163.com</w:t>
                                    <w:br/>
                                    <w:t>+7 (495) 147-56-20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</w:tc>
                    </w:tr>
                </w:tbl>
                <w:tbl>
                    <w:tblPr>
                        <w:tblStyle w:val="ac"/>
                        <w:tblW w:w="10184" w:type="dxa"/>
                        <w:jc w:val="left"/>
                        <w:tblInd w:w="0" w:type="dxa"/>
                        <w:tblLayout w:type="fixed"/>
                        <w:tblCellMar>
                            <w:top w:w="0" w:type="dxa"/>
                            <w:left w:w="108" w:type="dxa"/>
                            <w:bottom w:w="0" w:type="dxa"/>
                            <w:right w:w="108" w:type="dxa"/>
                        </w:tblCellMar>
                        <w:tblLook w:firstRow="1" w:noVBand="1" w:lastRow="0" w:firstColumn="1" w:lastColumn="0" w:noHBand="0" w:val="04a0"/>
                    </w:tblPr>
                    <w:tblGrid>
                        <w:gridCol w:w="2410"/>
                        <w:gridCol w:w="2458"/>
                        <w:gridCol w:w="2634"/>
                        <w:gridCol w:w="2681"/>
                    </w:tblGrid>
                    <w:tr>
                        <w:trPr></w:trPr>
                        <w:tc>
                            <w:tcPr>
                                <w:tcW w:w="2410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120" w:after="0"/>
                                    <w:jc w:val="center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</w:rPr>
                                    <w:drawing>
                                        <wp:inline distT="0" distB="0" distL="0" distR="0">
                                            <wp:extent cx="628650" cy="628650"/>
                                            <wp:effectExtent l="0" t="0" r="0" b="0"/>
                                            <wp:docPr id="3" name="Рисунок 1" descr=""></wp:docPr>
                                            <wp:cNvGraphicFramePr>
                                                <a:graphicFrameLocks
                                                    xmlns:a="http://schemas.openxmlformats.org/drawingml/2006/main" noChangeAspect="1"/>
                                                </wp:cNvGraphicFramePr>
                                                <a:graphic
                                                    xmlns:a="http://schemas.openxmlformats.org/drawingml/2006/main">
                                                    <a:graphicData uri="http://schemas.openxmlformats.org/drawingml/2006/picture">
                                                        <pic:pic
                                                            xmlns:pic="http://schemas.openxmlformats.org/drawingml/2006/picture">
                                                            <pic:nvPicPr>
                                                                <pic:cNvPr id="3" name="Рисунок 1" descr=""></pic:cNvPr>
                                                                <pic:cNvPicPr>
                                                                    <a:picLocks noChangeAspect="1" noChangeArrowheads="1"/>
                                                                </pic:cNvPicPr>
                                                            </pic:nvPicPr>
                                                            <pic:blipFill>
                                                                <a:blip r:embed="rId4"></a:blip>
                                                                <a:stretch>
                                                                    <a:fillRect/>
                                                                </a:stretch>
                                                            </pic:blipFill>
                                                            <pic:spPr bwMode="auto">
                                                                <a:xfrm>
                                                                    <a:off x="0" y="0"/>
                                                                    <a:ext cx="628650" cy="628650"/>
                                                                </a:xfrm>
                                                                <a:prstGeom prst="rect">
                                                                    <a:avLst/>
                                                                </a:prstGeom>
                                                            </pic:spPr>
                                                        </pic:pic>
                                                    </a:graphicData>
                                                </a:graphic>
                                            </wp:inline>
                                        </w:drawing>
                                    </w:r>
                                </w:p>
                            </w:tc>
                            <w:tc>
                                <w:tcPr>
                                    <w:tcW w:w="2458" w:type="dxa"/>
                                    <w:tcBorders>
                                        <w:top w:val="nil"/>
                                        <w:left w:val="nil"/>
                                        <w:bottom w:val="nil"/>
                                        <w:right w:val="nil"/>
                                    </w:tcBorders>
                                </w:tcPr>
                                <w:p>
                                    <w:pPr>
                                        <w:pStyle w:val="Normal"/>
                                        <w:widowControl w:val="false"/>
                                        <w:suppressAutoHyphens w:val="true"/>
                                        <w:spacing w:lineRule="auto" w:line="240" w:before="120" w:after="0"/>
                                        <w:jc w:val="center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val="en-US" w:bidi="ru-RU"/>
                                        </w:rPr>
                                    </w:pPr>
                                    <w:r>
                                        <w:rPr></w:rPr>
                                        <w:drawing>
                                            <wp:inline distT="0" distB="0" distL="0" distR="0">
                                                <wp:extent cx="638175" cy="638175"/>
                                                <wp:effectExtent l="0" t="0" r="0" b="0"/>
                                                <wp:docPr id="4" name="Изображение1" descr=""></wp:docPr>
                                                <wp:cNvGraphicFramePr>
                                                    <a:graphicFrameLocks
                                                        xmlns:a="http://schemas.openxmlformats.org/drawingml/2006/main" noChangeAspect="1"/>
                                                    </wp:cNvGraphicFramePr>
                                                    <a:graphic
                                                        xmlns:a="http://schemas.openxmlformats.org/drawingml/2006/main">
                                                        <a:graphicData uri="http://schemas.openxmlformats.org/drawingml/2006/picture">
                                                            <pic:pic
                                                                xmlns:pic="http://schemas.openxmlformats.org/drawingml/2006/picture">
                                                                <pic:nvPicPr>
                                                                    <pic:cNvPr id="4" name="Изображение1" descr=""></pic:cNvPr>
                                                                    <pic:cNvPicPr>
                                                                        <a:picLocks noChangeAspect="1" noChangeArrowheads="1"/>
                                                                    </pic:cNvPicPr>
                                                                </pic:nvPicPr>
                                                                <pic:blipFill>
                                                                    <a:blip r:embed="rId5"></a:blip>
                                                                    <a:stretch>
                                                                        <a:fillRect/>
                                                                    </a:stretch>
                                                                </pic:blipFill>
                                                                <pic:spPr bwMode="auto">
                                                                    <a:xfrm>
                                                                        <a:off x="0" y="0"/>
                                                                        <a:ext cx="638175" cy="638175"/>
                                                                    </a:xfrm>
                                                                    <a:prstGeom prst="rect">
                                                                        <a:avLst/>
                                                                    </a:prstGeom>
                                                                </pic:spPr>
                                                            </pic:pic>
                                                        </a:graphicData>
                                                    </a:graphic>
                                                </wp:inline>
                                            </w:drawing>
                                        </w:r>
                                    </w:p>
                                </w:tc>
                                <w:tc>
                                    <w:tcPr>
                                        <w:tcW w:w="2634" w:type="dxa"/>
                                        <w:tcBorders>
                                            <w:top w:val="nil"/>
                                            <w:left w:val="nil"/>
                                            <w:bottom w:val="nil"/>
                                            <w:right w:val="nil"/>
                                        </w:tcBorders>
                                    </w:tcPr>
                                    <w:p>
                                        <w:pPr>
                                            <w:pStyle w:val="Normal"/>
                                            <w:widowControl w:val="false"/>
                                            <w:suppressAutoHyphens w:val="true"/>
                                            <w:spacing w:lineRule="auto" w:line="240" w:before="120" w:after="0"/>
                                            <w:jc w:val="center"/>
                                            <w:rPr>
                                                <w:rFonts w:ascii="Calibri" w:hAnsi="Calibri" w:cs="Calibri"/>
                                                <w:sz w:val="22"/>
                                                <w:szCs w:val="22"/>
                                                <w:lang w:val="en-US" w:bidi="ru-RU"/>
                                            </w:rPr>
                                        </w:pPr>
                                        <w:r>
                                            <w:rPr></w:rPr>
                                            <w:drawing>
                                                <wp:inline distT="0" distB="0" distL="0" distR="0">
                                                    <wp:extent cx="598805" cy="628650"/>
                                                    <wp:effectExtent l="0" t="0" r="0" b="0"/>
                                                    <wp:docPr id="5" name="Рисунок 3" descr=""></wp:docPr>
                                                    <wp:cNvGraphicFramePr>
                                                        <a:graphicFrameLocks
                                                            xmlns:a="http://schemas.openxmlformats.org/drawingml/2006/main" noChangeAspect="1"/>
                                                        </wp:cNvGraphicFramePr>
                                                        <a:graphic
                                                            xmlns:a="http://schemas.openxmlformats.org/drawingml/2006/main">
                                                            <a:graphicData uri="http://schemas.openxmlformats.org/drawingml/2006/picture">
                                                                <pic:pic
                                                                    xmlns:pic="http://schemas.openxmlformats.org/drawingml/2006/picture">
                                                                    <pic:nvPicPr>
                                                                        <pic:cNvPr id="5" name="Рисунок 3" descr=""></pic:cNvPr>
                                                                        <pic:cNvPicPr>
                                                                            <a:picLocks noChangeAspect="1" noChangeArrowheads="1"/>
                                                                        </pic:cNvPicPr>
                                                                    </pic:nvPicPr>
                                                                    <pic:blipFill>
                                                                        <a:blip r:embed="rId6"></a:blip>
                                                                        <a:stretch>
                                                                            <a:fillRect/>
                                                                        </a:stretch>
                                                                    </pic:blipFill>
                                                                    <pic:spPr bwMode="auto">
                                                                        <a:xfrm>
                                                                            <a:off x="0" y="0"/>
                                                                            <a:ext cx="598805" cy="628650"/>
                                                                        </a:xfrm>
                                                                        <a:prstGeom prst="rect">
                                                                            <a:avLst/>
                                                                        </a:prstGeom>
                                                                    </pic:spPr>
                                                                </pic:pic>
                                                            </a:graphicData>
                                                        </a:graphic>
                                                    </wp:inline>
                                                </w:drawing>
                                            </w:r>
                                        </w:p>
                                    </w:tc>
                                    <w:tc>
                                        <w:tcPr>
                                            <w:tcW w:w="2681" w:type="dxa"/>
                                            <w:tcBorders>
                                                <w:top w:val="nil"/>
                                                <w:left w:val="nil"/>
                                                <w:bottom w:val="nil"/>
                                                <w:right w:val="nil"/>
                                            </w:tcBorders>
                                        </w:tcPr>
                                        <w:p>
                                            <w:pPr>
                                                <w:pStyle w:val="Normal"/>
                                                <w:widowControl w:val="false"/>
                                                <w:suppressAutoHyphens w:val="true"/>
                                                <w:spacing w:lineRule="auto" w:line="240" w:before="120" w:after="0"/>
                                                <w:jc w:val="center"/>
                                                <w:rPr>
                                                    <w:rFonts w:ascii="Calibri" w:hAnsi="Calibri" w:cs="Calibri"/>
                                                    <w:sz w:val="22"/>
                                                    <w:szCs w:val="22"/>
                                                    <w:lang w:val="en-US" w:bidi="ru-RU"/>
                                                </w:rPr>
                                            </w:pPr>
                                            <w:r>
                                                <w:rPr></w:rPr>
                                                <w:drawing>
                                                    <wp:inline distT="0" distB="0" distL="0" distR="0">
                                                        <wp:extent cx="647700" cy="490855"/>
                                                        <wp:effectExtent l="0" t="0" r="0" b="0"/>
                                                        <wp:docPr id="6" name="Рисунок 4" descr=""></wp:docPr>
                                                        <wp:cNvGraphicFramePr>
                                                            <a:graphicFrameLocks
                                                                xmlns:a="http://schemas.openxmlformats.org/drawingml/2006/main" noChangeAspect="1"/>
                                                            </wp:cNvGraphicFramePr>
                                                            <a:graphic
                                                                xmlns:a="http://schemas.openxmlformats.org/drawingml/2006/main">
                                                                <a:graphicData uri="http://schemas.openxmlformats.org/drawingml/2006/picture">
                                                                    <pic:pic
                                                                        xmlns:pic="http://schemas.openxmlformats.org/drawingml/2006/picture">
                                                                        <pic:nvPicPr>
                                                                            <pic:cNvPr id="6" name="Рисунок 4" descr=""></pic:cNvPr>
                                                                            <pic:cNvPicPr>
                                                                                <a:picLocks noChangeAspect="1" noChangeArrowheads="1"/>
                                                                            </pic:cNvPicPr>
                                                                        </pic:nvPicPr>
                                                                        <pic:blipFill>
                                                                            <a:blip r:embed="rId7"></a:blip>
                                                                            <a:stretch>
                                                                                <a:fillRect/>
                                                                            </a:stretch>
                                                                        </pic:blipFill>
                                                                        <pic:spPr bwMode="auto">
                                                                            <a:xfrm>
                                                                                <a:off x="0" y="0"/>
                                                                                <a:ext cx="647700" cy="490855"/>
                                                                            </a:xfrm>
                                                                            <a:prstGeom prst="rect">
                                                                                <a:avLst/>
                                                                            </a:prstGeom>
                                                                        </pic:spPr>
                                                                    </pic:pic>
                                                                </a:graphicData>
                                                            </a:graphic>
                                                        </wp:inline>
                                                    </w:drawing>
                                                </w:r>
                                            </w:p>
                                        </w:tc>
                                    </w:tr>
                                    <w:tr>
                                        <w:trPr></w:trPr>
                                        <w:tc>
                                            <w:tcPr>
                                                <w:tcW w:w="2410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质量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458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保障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34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实惠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81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val="en-US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en-US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速度和便利</w:t>
                                                </w:r>
                                            </w:p>
                                        </w:tc>
                                    </w:tr>
                                    <w:tr>
                                        <w:trPr></w:trPr>
                                        <w:tc>
                                            <w:tcPr>
                                                <w:tcW w:w="2410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翻译仅由母语人士完成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我们的译员均毕业于中国和俄罗斯的顶尖高校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我们根据主题和领域，精准匹配专业译员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支持处理多种中文地方方言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458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译员均持有翻译资格证书和相关学历文凭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自2014年起专注于中文翻译工作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获得大量客户好评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与大型政府机构建立合作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34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由母语人士提供高质量翻译，价格合理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截取部分译文，免费试译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我们的服务遍布俄罗斯50座城市和中国45座城市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为长期合作客户提供专属优惠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81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中文翻译日均完成250页以上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15分钟内快速匹配译员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市中心可办理文件公证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办公室在沈阳市和莫斯科市</w:t>
                                                </w:r>
                                            </w:p>
                                        </w:tc>
                                    </w:tr>
                                </w:tbl>
                                <w:p>
                                    <w:pPr>
                                        <w:pStyle w:val="Normal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pPr>
                                    <w:r>
                                        <w:rPr>
                                            <w:rFonts w:cs="Calibri" w:ascii="Calibri" w:hAnsi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r>
                                </w:p>
                                <w:p>
                                    <w:pPr>
                                        <w:pStyle w:val="Normal"/>
                                        <w:spacing w:before="0" w:after="160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pPr>
                                    <w:r>
                                        <w:rPr></w:rPr>
                                    </w:r>
                                </w:p>
                                <w:sectPr>
                                    <w:headerReference w:type="first" r:id="rId8"/>
                                    <w:footerReference w:type="first" r:id="rId9"/>
                                    <w:type w:val="nextPage"/>
                                    <w:pgSz w:w="11906" w:h="16838"/>
                                    <w:pgMar w:left="851" w:right="851" w:gutter="0" w:header="568" w:top="1276" w:footer="234" w:bottom="709"/>
                                    <w:pgNumType w:fmt="decimal"/>
                                    <w:formProt w:val="false"/>
                                    <w:titlePg/>
                                    <w:textDirection w:val="lrTb"/>
                                    <w:docGrid w:type="default" w:linePitch="360" w:charSpace="0"/>
                                </w:sectPr>
                            </w:body>
                        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