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亚历山大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叫亚历山大，我来自俄罗斯的远东。我的家乡离中国很近，所以我从小时候跟中国人和谐相处。几年来，我的生活一直与中国和中文有关系。在这段时间内，我与中国公司合作，了解中国合作伙伴，工作方法和开展业务方面积累了丰富的经验。我也熟悉中国人口最密度的城市-上海及其附近地区，我在上海已经3年了。以前我在俄罗斯从事涉及工程的工作，通信和IT部门。因此，我对技术领域的了解不仅取决于词语和定义的了解，而对操作过程中发生的事情以及专家可能提出具体的问题。在工作期间，我从一名简单的工程师升至部门主管，因此，我可以自信地说，我不仅了解技术问题，而且了解与管理相关的组织问题。我的金融教育可以帮助我轻松应对商业和金融，经济和战略问题。随时准备与您合作。谢谢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2019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负责从汉语到俄语的口译和笔译工作。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联邦联合公司通信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- 2017 年 </w:t>
        <w:br/>
      </w:r>
      <w:r>
        <w:rPr>
          <w:i/>
          <w:iCs/>
          <w:sz w:val="22"/>
          <w:szCs w:val="22"/>
        </w:rPr>
        <w:t>IT 处 / IT 主管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企业IT 服务的开发，实施，维护和支持；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开发技术文件，法规和监管文件；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在IT 和员工培训方面对组织预算的形成和合理性进行评估；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计算未来项目的盈利能力；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维持会计制度；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合同编制与第三方组织合作，为实施项目；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举办有关企业中软件和IT服务；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企业信息安全委员会的工作；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企业门户内容的形成；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分析信息服务和采购材料市场以及执行创新解决方案等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联邦联合公司通信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- 2012 年 </w:t>
        <w:br/>
      </w:r>
      <w:r>
        <w:rPr>
          <w:i/>
          <w:iCs/>
          <w:sz w:val="22"/>
          <w:szCs w:val="22"/>
        </w:rPr>
        <w:t>运行处工程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准备技术文件；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制定计划和技术图；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现有设备的技术维护；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支持卫星通信网络的控制系统；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卫星电视广播系统现代化的技术；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配置，控制办公设备的采购和维修；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开发企业信息系统；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支持和维护企业的电话服务；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安装光纤线。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亚洲商场有限公司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- 2010 年 </w:t>
        <w:br/>
      </w:r>
      <w:r>
        <w:rPr>
          <w:i/>
          <w:iCs/>
          <w:sz w:val="22"/>
          <w:szCs w:val="22"/>
        </w:rPr>
        <w:t>工程处IP 电话工程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购买，配置和维护服务器硬件；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服务目录的形成；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IP 电话服务的开发和实施；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在企业中为局域网准备和实施技术解决方案；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监督展览/研讨会/会议的形成，以制定年度参与计划并参加这些活动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实践经历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- 2017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2017.02-至今 学生会文体部 部员. 积极参与学生会的各项活动，与其他干事一起参与各类学生活动的策划（运动比赛，文化节，龙舟赛等）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2010.03-2017.02 联邦联合公司宇宙通信组织委员会 组织者
积极组织公司派对，会议，体育赛事，公司宣传，宣传材料的开发，拍摄等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2005.09-2010.06 学生会文体部 部员
积极参与学生会的各项活动，与其他干事一起参与各类学生活动的策划（运动比赛，智力比赛，学术讨论会，拍电影）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远东国立交通大学 (2005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通信工程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主修课程：高级数学、物理学、解析几何、电工理论基础、铁路自动电话交换机理论、远程通信系统等；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远东国立交通大学 (2007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经济学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主修课程：宏观经济学、微观经济学、基础会计、交通经济、企业经济、统计学、经济计量学等；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复旦大学 (2017 年 – 2018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汉语语言学生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HSK5 级 主修课程：精度、口语、泛读、听力、CCTV 等；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上海财经大学 (2018 年 – 2020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金融分析师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主修课程：公司金融、经济分析、金融计量学、投资学、金融监管、财务报表分析、金融衍生工具等。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https://www.ezhongfanyi.com/translators/r-aleksandr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