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
              <w:drawing>
                <wp:inline distT="0" distB="0" distL="0" distR="0">
                  <wp:extent cx="1609090" cy="182880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V. Nadezhda</w:t>
            </w:r>
          </w:p>
          <w:p>
            <w:pPr>
              <w:pStyle w:val="Normal"/>
              <w:rPr>
                <w:rFonts w:ascii="Calibri" w:hAnsi="Calibri" w:cs="Calibri"/>
                <w:sz w:val="22"/>
                <w:szCs w:val="22"/>
                <w:lang w:bidi="ru-RU"/>
              </w:rPr>
            </w:pPr>
            <w:r>
              <w:rPr>
                <w:rFonts w:cs="Calibri" w:ascii="Calibri" w:hAnsi="Calibri"/>
                <w:sz w:val="22"/>
                <w:szCs w:val="22"/>
                <w:lang w:bidi="ru-RU"/>
              </w:rPr>
              <w:t xml:space="preserve">大家好！</w:t>
            </w:r>
          </w:p>
          <w:p>
            <w:pPr>
              <w:pStyle w:val="Normal"/>
              <w:rPr>
                <w:rFonts w:ascii="Calibri" w:hAnsi="Calibri" w:cs="Calibri"/>
                <w:sz w:val="22"/>
                <w:szCs w:val="22"/>
                <w:lang w:bidi="ru-RU"/>
              </w:rPr>
            </w:pPr>
            <w:r>
              <w:rPr>
                <w:rFonts w:cs="Calibri" w:ascii="Calibri" w:hAnsi="Calibri"/>
                <w:sz w:val="22"/>
                <w:szCs w:val="22"/>
                <w:lang w:bidi="ru-RU"/>
              </w:rPr>
              <w:t xml:space="preserve">我是中英俄文翻译。</w:t>
            </w:r>
          </w:p>
          <w:p>
            <w:pPr>
              <w:pStyle w:val="Normal"/>
              <w:rPr>
                <w:rFonts w:ascii="Calibri" w:hAnsi="Calibri" w:cs="Calibri"/>
                <w:sz w:val="22"/>
                <w:szCs w:val="22"/>
                <w:lang w:bidi="ru-RU"/>
              </w:rPr>
            </w:pPr>
            <w:r>
              <w:rPr>
                <w:rFonts w:cs="Calibri" w:ascii="Calibri" w:hAnsi="Calibri"/>
                <w:sz w:val="22"/>
                <w:szCs w:val="22"/>
                <w:lang w:bidi="ru-RU"/>
              </w:rPr>
              <w:t xml:space="preserve">我在大学学习的时候，多次在中国经过语言练习。大学毕业后在中国生活了12年，在这期间内，我在对外经济、技术、木工等多个方面担任翻译工作，但选择了技术方向。</w:t>
            </w:r>
          </w:p>
          <w:p>
            <w:pPr>
              <w:pStyle w:val="Normal"/>
              <w:rPr>
                <w:rFonts w:ascii="Calibri" w:hAnsi="Calibri" w:cs="Calibri"/>
                <w:sz w:val="22"/>
                <w:szCs w:val="22"/>
                <w:lang w:bidi="ru-RU"/>
              </w:rPr>
            </w:pPr>
            <w:r>
              <w:rPr>
                <w:rFonts w:cs="Calibri" w:ascii="Calibri" w:hAnsi="Calibri"/>
                <w:sz w:val="22"/>
                <w:szCs w:val="22"/>
                <w:lang w:bidi="ru-RU"/>
              </w:rPr>
              <w:t xml:space="preserve">我作为翻译译员参加了特洛伊次克发电站扩展项目和阿穆尔天然处理工厂项目。</w:t>
            </w:r>
          </w:p>
          <w:p>
            <w:pPr>
              <w:pStyle w:val="Normal"/>
              <w:rPr>
                <w:rFonts w:ascii="Calibri" w:hAnsi="Calibri" w:cs="Calibri"/>
                <w:sz w:val="22"/>
                <w:szCs w:val="22"/>
                <w:lang w:bidi="ru-RU"/>
              </w:rPr>
            </w:pPr>
            <w:r>
              <w:rPr>
                <w:rFonts w:cs="Calibri" w:ascii="Calibri" w:hAnsi="Calibri"/>
                <w:sz w:val="22"/>
                <w:szCs w:val="22"/>
                <w:lang w:bidi="ru-RU"/>
              </w:rPr>
              <w:t xml:space="preserve">我从事口译（交替翻译）和笔译。</w:t>
            </w:r>
          </w:p>
          <w:p>
            <w:pPr>
              <w:pStyle w:val="Normal"/>
              <w:rPr>
                <w:rFonts w:ascii="Calibri" w:hAnsi="Calibri" w:cs="Calibri"/>
                <w:sz w:val="22"/>
                <w:szCs w:val="22"/>
                <w:lang w:bidi="ru-RU"/>
              </w:rPr>
            </w:pPr>
            <w:r>
              <w:rPr>
                <w:rFonts w:cs="Calibri" w:ascii="Calibri" w:hAnsi="Calibri"/>
                <w:sz w:val="22"/>
                <w:szCs w:val="22"/>
                <w:lang w:bidi="ru-RU"/>
              </w:rPr>
              <w:t xml:space="preserve">希望成功的合作！</w:t>
            </w:r>
          </w:p>
          <w:p>
            <w:pPr>
              <w:pStyle w:val="Normal"/>
              <w:rPr>
                <w:rFonts w:ascii="Calibri" w:hAnsi="Calibri" w:cs="Calibri"/>
                <w:sz w:val="22"/>
                <w:szCs w:val="22"/>
                <w:lang w:bidi="ru-RU"/>
              </w:rPr>
            </w:pPr>
            <w:r>
              <w:rPr>
                <w:rFonts w:cs="Calibri" w:ascii="Calibri" w:hAnsi="Calibri"/>
                <w:sz w:val="22"/>
                <w:szCs w:val="22"/>
                <w:lang w:bidi="ru-RU"/>
              </w:rPr>
              <w:t xml:space="preserve">尊敬，娜嘉</w:t>
            </w:r>
          </w:p>
        </w:tc>
      </w:tr>
      <w:tr>
        <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英语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交替翻译</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笔译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
      </w:pPr>
      <w:r>
        <w:rPr/>
      </w:r>
    </w:p>
    <w:p>
      <w:pPr>
        <w:pStyle w:val="Normal"/>
        <w:rPr/>
      </w:pPr>
      <w:r>
        <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2018 年 - 至今</w:t>
        <w:br/>
      </w:r>
      <w:r>
        <w:rPr>
          <w:i/>
          <w:iCs/>
          <w:sz w:val="22"/>
          <w:szCs w:val="22"/>
        </w:rPr>
        <w:t>翻译员</w:t>
      </w:r>
    </w:p>
    <w:p>
      <w:pPr>
        <w:pStyle w:val="Normal"/>
        <w:rPr>
          <w:rFonts w:ascii="Calibri" w:hAnsi="Calibri" w:cs="Calibri"/>
          <w:sz w:val="22"/>
          <w:szCs w:val="22"/>
          <w:lang w:bidi="ru-RU"/>
        </w:rPr>
      </w:pPr>
      <w:r>
        <w:rPr>
          <w:rFonts w:cs="Calibri" w:ascii="Calibri" w:hAnsi="Calibri"/>
          <w:sz w:val="22"/>
          <w:szCs w:val="22"/>
          <w:lang w:bidi="ru-RU"/>
        </w:rPr>
        <w:t xml:space="preserve">中俄技术笔译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天狮公司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2018 年 - 至今</w:t>
        <w:br/>
      </w:r>
      <w:r>
        <w:rPr>
          <w:i/>
          <w:iCs/>
          <w:sz w:val="22"/>
          <w:szCs w:val="22"/>
        </w:rPr>
        <w:t>翻译员</w:t>
      </w:r>
    </w:p>
    <w:p>
      <w:pPr>
        <w:pStyle w:val="Normal"/>
        <w:rPr>
          <w:rFonts w:ascii="Calibri" w:hAnsi="Calibri" w:cs="Calibri"/>
          <w:sz w:val="22"/>
          <w:szCs w:val="22"/>
          <w:lang w:bidi="ru-RU"/>
        </w:rPr>
      </w:pPr>
      <w:r>
        <w:rPr>
          <w:rFonts w:cs="Calibri" w:ascii="Calibri" w:hAnsi="Calibri"/>
          <w:sz w:val="22"/>
          <w:szCs w:val="22"/>
          <w:lang w:bidi="ru-RU"/>
        </w:rPr>
        <w:t xml:space="preserve">中俄/俄中口译/笔译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新思路翻译咨询服务有限责任公司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2018 年 - 2018 年 </w:t>
        <w:br/>
      </w:r>
      <w:r>
        <w:rPr>
          <w:i/>
          <w:iCs/>
          <w:sz w:val="22"/>
          <w:szCs w:val="22"/>
        </w:rPr>
        <w:t>翻译员（项目工作）</w:t>
      </w:r>
    </w:p>
    <w:p>
      <w:pPr>
        <w:pStyle w:val="Normal"/>
        <w:rPr>
          <w:rFonts w:ascii="Calibri" w:hAnsi="Calibri" w:cs="Calibri"/>
          <w:sz w:val="22"/>
          <w:szCs w:val="22"/>
          <w:lang w:bidi="ru-RU"/>
        </w:rPr>
      </w:pPr>
      <w:r>
        <w:rPr>
          <w:rFonts w:cs="Calibri" w:ascii="Calibri" w:hAnsi="Calibri"/>
          <w:sz w:val="22"/>
          <w:szCs w:val="22"/>
          <w:lang w:bidi="ru-RU"/>
        </w:rPr>
        <w:t xml:space="preserve">英俄/俄英设计文件笔译（阿穆尔天然处理工厂项目）</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SINOTRANSLATION翻译公司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2016 年 - 至今</w:t>
        <w:br/>
      </w:r>
      <w:r>
        <w:rPr>
          <w:i/>
          <w:iCs/>
          <w:sz w:val="22"/>
          <w:szCs w:val="22"/>
        </w:rPr>
        <w:t>翻译员 </w:t>
      </w:r>
    </w:p>
    <w:p>
      <w:pPr>
        <w:pStyle w:val="Normal"/>
        <w:rPr>
          <w:rFonts w:ascii="Calibri" w:hAnsi="Calibri" w:cs="Calibri"/>
          <w:sz w:val="22"/>
          <w:szCs w:val="22"/>
          <w:lang w:bidi="ru-RU"/>
        </w:rPr>
      </w:pPr>
      <w:r>
        <w:rPr>
          <w:rFonts w:cs="Calibri" w:ascii="Calibri" w:hAnsi="Calibri"/>
          <w:sz w:val="22"/>
          <w:szCs w:val="22"/>
          <w:lang w:bidi="ru-RU"/>
        </w:rPr>
        <w:t xml:space="preserve">技术、合同、经济的中俄翻译，文艺作品（参加了马化腾的“数字经济”书的翻译）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广州LEMAX集团</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2015 年 - 2017 年 </w:t>
        <w:br/>
      </w:r>
      <w:r>
        <w:rPr>
          <w:i/>
          <w:iCs/>
          <w:sz w:val="22"/>
          <w:szCs w:val="22"/>
        </w:rPr>
        <w:t>对外贸易业务员</w:t>
      </w:r>
    </w:p>
    <w:p>
      <w:pPr>
        <w:pStyle w:val="Normal"/>
        <w:rPr>
          <w:rFonts w:ascii="Calibri" w:hAnsi="Calibri" w:cs="Calibri"/>
          <w:sz w:val="22"/>
          <w:szCs w:val="22"/>
          <w:lang w:bidi="ru-RU"/>
        </w:rPr>
      </w:pPr>
      <w:r>
        <w:rPr>
          <w:rFonts w:cs="Calibri" w:ascii="Calibri" w:hAnsi="Calibri"/>
          <w:sz w:val="22"/>
          <w:szCs w:val="22"/>
          <w:lang w:bidi="ru-RU"/>
        </w:rPr>
        <w:t xml:space="preserve">与中国供应商联系，下单，给俄罗斯客户翻译，按俄罗斯客户的要求寻找商品等相关的工作，验货，装货监控</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ABBYY　Language Services翻译公司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2013 年 - 至今</w:t>
        <w:br/>
      </w:r>
      <w:r>
        <w:rPr>
          <w:i/>
          <w:iCs/>
          <w:sz w:val="22"/>
          <w:szCs w:val="22"/>
        </w:rPr>
        <w:t>翻译员 </w:t>
      </w:r>
    </w:p>
    <w:p>
      <w:pPr>
        <w:pStyle w:val="Normal"/>
        <w:rPr>
          <w:rFonts w:ascii="Calibri" w:hAnsi="Calibri" w:cs="Calibri"/>
          <w:sz w:val="22"/>
          <w:szCs w:val="22"/>
          <w:lang w:bidi="ru-RU"/>
        </w:rPr>
      </w:pPr>
      <w:r>
        <w:rPr>
          <w:rFonts w:cs="Calibri" w:ascii="Calibri" w:hAnsi="Calibri"/>
          <w:sz w:val="22"/>
          <w:szCs w:val="22"/>
          <w:lang w:bidi="ru-RU"/>
        </w:rPr>
        <w:t xml:space="preserve">技术、合同、经济、医学、药学的中俄翻译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GEOSKY翻译公司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2012 年 - 2014 年 </w:t>
        <w:br/>
      </w:r>
      <w:r>
        <w:rPr>
          <w:i/>
          <w:iCs/>
          <w:sz w:val="22"/>
          <w:szCs w:val="22"/>
        </w:rPr>
        <w:t>翻译员 </w:t>
      </w:r>
    </w:p>
    <w:p>
      <w:pPr>
        <w:pStyle w:val="Normal"/>
        <w:rPr>
          <w:rFonts w:ascii="Calibri" w:hAnsi="Calibri" w:cs="Calibri"/>
          <w:sz w:val="22"/>
          <w:szCs w:val="22"/>
          <w:lang w:bidi="ru-RU"/>
        </w:rPr>
      </w:pPr>
      <w:r>
        <w:rPr>
          <w:rFonts w:cs="Calibri" w:ascii="Calibri" w:hAnsi="Calibri"/>
          <w:sz w:val="22"/>
          <w:szCs w:val="22"/>
          <w:lang w:bidi="ru-RU"/>
        </w:rPr>
        <w:t xml:space="preserve">技术翻译，合同，文艺作品（关于易经的书）</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中航建筑工程有限公司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2010 年 - 2015 年 </w:t>
        <w:br/>
      </w:r>
      <w:r>
        <w:rPr>
          <w:i/>
          <w:iCs/>
          <w:sz w:val="22"/>
          <w:szCs w:val="22"/>
        </w:rPr>
        <w:t>翻译员</w:t>
      </w:r>
    </w:p>
    <w:p>
      <w:pPr>
        <w:pStyle w:val="Normal"/>
        <w:rPr>
          <w:rFonts w:ascii="Calibri" w:hAnsi="Calibri" w:cs="Calibri"/>
          <w:sz w:val="22"/>
          <w:szCs w:val="22"/>
          <w:lang w:bidi="ru-RU"/>
        </w:rPr>
      </w:pPr>
      <w:r>
        <w:rPr>
          <w:rFonts w:cs="Calibri" w:ascii="Calibri" w:hAnsi="Calibri"/>
          <w:sz w:val="22"/>
          <w:szCs w:val="22"/>
          <w:lang w:bidi="ru-RU"/>
        </w:rPr>
        <w:t xml:space="preserve">设备说明书、图纸中俄、英俄翻译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莫斯科伊斯特电力公司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2010 年 - 2012 年 </w:t>
        <w:br/>
      </w:r>
      <w:r>
        <w:rPr>
          <w:i/>
          <w:iCs/>
          <w:sz w:val="22"/>
          <w:szCs w:val="22"/>
        </w:rPr>
        <w:t>翻译员</w:t>
      </w:r>
    </w:p>
    <w:p>
      <w:pPr>
        <w:pStyle w:val="Normal"/>
        <w:rPr>
          <w:rFonts w:ascii="Calibri" w:hAnsi="Calibri" w:cs="Calibri"/>
          <w:sz w:val="22"/>
          <w:szCs w:val="22"/>
          <w:lang w:bidi="ru-RU"/>
        </w:rPr>
      </w:pPr>
      <w:r>
        <w:rPr>
          <w:rFonts w:cs="Calibri" w:ascii="Calibri" w:hAnsi="Calibri"/>
          <w:sz w:val="22"/>
          <w:szCs w:val="22"/>
          <w:lang w:bidi="ru-RU"/>
        </w:rPr>
        <w:t xml:space="preserve">技术任务书、图纸、说明书，等技术资料中俄、英俄笔译，开会交替翻译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香港汇力贸易有限公司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2007 年 - 2009 年 </w:t>
        <w:br/>
      </w:r>
      <w:r>
        <w:rPr>
          <w:i/>
          <w:iCs/>
          <w:sz w:val="22"/>
          <w:szCs w:val="22"/>
        </w:rPr>
        <w:t>翻译员</w:t>
      </w:r>
    </w:p>
    <w:p>
      <w:pPr>
        <w:pStyle w:val="Normal"/>
        <w:rPr>
          <w:rFonts w:ascii="Calibri" w:hAnsi="Calibri" w:cs="Calibri"/>
          <w:sz w:val="22"/>
          <w:szCs w:val="22"/>
          <w:lang w:bidi="ru-RU"/>
        </w:rPr>
      </w:pPr>
      <w:r>
        <w:rPr>
          <w:rFonts w:cs="Calibri" w:ascii="Calibri" w:hAnsi="Calibri"/>
          <w:sz w:val="22"/>
          <w:szCs w:val="22"/>
          <w:lang w:bidi="ru-RU"/>
        </w:rPr>
        <w:t xml:space="preserve">技术说明书、买卖合同笔译（中俄）</w:t>
      </w:r>
    </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赤塔国立大学 (1999 年 – 2004 年)</w:t>
      </w:r>
    </w:p>
    <w:p>
      <w:pPr>
        <w:pStyle w:val="Normal"/>
        <w:rPr>
          <w:rFonts w:ascii="Calibri" w:hAnsi="Calibri" w:cs="Calibri"/>
          <w:sz w:val="22"/>
          <w:szCs w:val="22"/>
          <w:lang w:bidi="ru-RU"/>
        </w:rPr>
      </w:pPr>
      <w:r>
        <w:rPr/>
        <w:t>院系: </w:t>
      </w:r>
      <w:r>
        <w:rPr/>
        <w:t>东方学系</w:t>
      </w:r>
    </w:p>
    <w:p>
      <w:pPr>
        <w:pStyle w:val="Normal"/>
        <w:rPr>
          <w:rFonts w:ascii="Calibri" w:hAnsi="Calibri" w:cs="Calibri"/>
          <w:sz w:val="22"/>
          <w:szCs w:val="22"/>
          <w:lang w:bidi="ru-RU"/>
        </w:rPr>
      </w:pPr>
      <w:r>
        <w:rPr/>
        <w:t>专业: </w:t>
      </w:r>
      <w:r>
        <w:rPr/>
        <w:t>区域学家</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
                          <pic:cNvPicPr>
                            <a:picLocks noChangeAspect="1" noChangeArrowheads="1"/>
                          </pic:cNvPicPr>
                        </pic:nvPicPr>
                        <pic:blipFill>
                          <a:blip r:embed="rId3"/>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https://www.ezhongfanyi.com/translators/v-nadegda</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28650" cy="6286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38175" cy="63817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598805" cy="6286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47700" cy="49085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647700" cy="490855"/>
                          </a:xfrm>
                          <a:prstGeom prst="rect">
                            <a:avLst/>
                          </a:prstGeom>
                        </pic:spPr>
                      </pic:pic>
                    </a:graphicData>
                  </a:graphic>
                </wp:inline>
              </w:drawing>
            </w:r>
          </w:p>
        </w:tc>
      </w:tr>
      <w:tr>
        <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速度和便利</w:t>
            </w:r>
          </w:p>
        </w:tc>
      </w:tr>
      <w:tr>
        <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