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马天玉</w:t>
            </w:r>
          </w:p>
          <w:p>
            <w:pPr>
              <w:pStyle w:val="Normal"/>
              <w:rPr>
                <w:rFonts w:ascii="Calibri" w:hAnsi="Calibri" w:cs="Calibri"/>
                <w:sz w:val="22"/>
                <w:szCs w:val="22"/>
                <w:lang w:bidi="ru-RU"/>
              </w:rPr>
            </w:pPr>
            <w:r>
              <w:rPr>
                <w:rFonts w:cs="Calibri" w:ascii="Calibri" w:hAnsi="Calibri"/>
                <w:sz w:val="22"/>
                <w:szCs w:val="22"/>
                <w:lang w:bidi="ru-RU"/>
              </w:rPr>
              <w:t xml:space="preserve">大家好！我叫马天玉。我的俄文名字是克里斯金娜。2001年加入俄罗斯国籍，自1997年开始在俄罗斯生活。我在这个翻译公司只做口译和同声传译，不做笔译。</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同声传译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负责汉俄同声传译。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2006 年 - 至今</w:t>
        <w:br/>
      </w:r>
      <w:r>
        <w:rPr>
          <w:i/>
          <w:iCs/>
          <w:sz w:val="22"/>
          <w:szCs w:val="22"/>
        </w:rPr>
        <w:t>俄语翻译</w:t>
      </w:r>
    </w:p>
    <w:p>
      <w:pPr>
        <w:pStyle w:val="Normal"/>
        <w:rPr>
          <w:rFonts w:ascii="Calibri" w:hAnsi="Calibri" w:cs="Calibri"/>
          <w:sz w:val="22"/>
          <w:szCs w:val="22"/>
          <w:lang w:bidi="ru-RU"/>
        </w:rPr>
      </w:pPr>
      <w:r>
        <w:rPr>
          <w:rFonts w:cs="Calibri" w:ascii="Calibri" w:hAnsi="Calibri"/>
          <w:sz w:val="22"/>
          <w:szCs w:val="22"/>
          <w:lang w:bidi="ru-RU"/>
        </w:rPr>
        <w:t xml:space="preserve">在莫斯科市提供俄语口译和笔译服务。</w:t>
      </w:r>
    </w:p>
    <w:p>
      <w:pPr>
        <w:pStyle w:val="Normal"/>
        <w:rPr>
          <w:rFonts w:ascii="Calibri" w:hAnsi="Calibri" w:cs="Calibri"/>
          <w:sz w:val="22"/>
          <w:szCs w:val="22"/>
          <w:lang w:bidi="ru-RU"/>
        </w:rPr>
      </w:pPr>
      <w:r>
        <w:rPr>
          <w:rFonts w:cs="Calibri" w:ascii="Calibri" w:hAnsi="Calibri"/>
          <w:sz w:val="22"/>
          <w:szCs w:val="22"/>
          <w:lang w:bidi="ru-RU"/>
        </w:rPr>
        <w:t xml:space="preserve">具有以下同声传译工作经历：</w:t>
      </w:r>
    </w:p>
    <w:p>
      <w:pPr>
        <w:pStyle w:val="Normal"/>
        <w:rPr>
          <w:rFonts w:ascii="Calibri" w:hAnsi="Calibri" w:cs="Calibri"/>
          <w:sz w:val="22"/>
          <w:szCs w:val="22"/>
          <w:lang w:bidi="ru-RU"/>
        </w:rPr>
      </w:pPr>
      <w:r>
        <w:rPr>
          <w:rFonts w:cs="Calibri" w:ascii="Calibri" w:hAnsi="Calibri"/>
          <w:sz w:val="22"/>
          <w:szCs w:val="22"/>
          <w:lang w:bidi="ru-RU"/>
        </w:rPr>
        <w:t xml:space="preserve">- 2009年4月，莫斯科市，上海合作组织成员国总检察长第七次会议；</w:t>
      </w:r>
    </w:p>
    <w:p>
      <w:pPr>
        <w:pStyle w:val="Normal"/>
        <w:rPr>
          <w:rFonts w:ascii="Calibri" w:hAnsi="Calibri" w:cs="Calibri"/>
          <w:sz w:val="22"/>
          <w:szCs w:val="22"/>
          <w:lang w:bidi="ru-RU"/>
        </w:rPr>
      </w:pPr>
      <w:r>
        <w:rPr>
          <w:rFonts w:cs="Calibri" w:ascii="Calibri" w:hAnsi="Calibri"/>
          <w:sz w:val="22"/>
          <w:szCs w:val="22"/>
          <w:lang w:bidi="ru-RU"/>
        </w:rPr>
        <w:t xml:space="preserve">- 2011年9月13日，莫斯科市，经济和社会理事会和金砖国家相关机构举行的圆桌会议，议题为《金砖国家民间社会组织的巩固地位里约+20研讨会》；</w:t>
      </w:r>
    </w:p>
    <w:p>
      <w:pPr>
        <w:pStyle w:val="Normal"/>
        <w:rPr>
          <w:rFonts w:ascii="Calibri" w:hAnsi="Calibri" w:cs="Calibri"/>
          <w:sz w:val="22"/>
          <w:szCs w:val="22"/>
          <w:lang w:bidi="ru-RU"/>
        </w:rPr>
      </w:pPr>
      <w:r>
        <w:rPr>
          <w:rFonts w:cs="Calibri" w:ascii="Calibri" w:hAnsi="Calibri"/>
          <w:sz w:val="22"/>
          <w:szCs w:val="22"/>
          <w:lang w:bidi="ru-RU"/>
        </w:rPr>
        <w:t xml:space="preserve">- 2012年6月7日，莫斯科市，俄罗斯联邦工商局举办的国际论坛，题为《海关联盟发动机燃料技术规定的前景，中国、美国、欧盟的国际经验》；</w:t>
      </w:r>
    </w:p>
    <w:p>
      <w:pPr>
        <w:pStyle w:val="Normal"/>
        <w:rPr>
          <w:rFonts w:ascii="Calibri" w:hAnsi="Calibri" w:cs="Calibri"/>
          <w:sz w:val="22"/>
          <w:szCs w:val="22"/>
          <w:lang w:bidi="ru-RU"/>
        </w:rPr>
      </w:pPr>
      <w:r>
        <w:rPr>
          <w:rFonts w:cs="Calibri" w:ascii="Calibri" w:hAnsi="Calibri"/>
          <w:sz w:val="22"/>
          <w:szCs w:val="22"/>
          <w:lang w:bidi="ru-RU"/>
        </w:rPr>
        <w:t xml:space="preserve">- 2012年6月14至15日，下诺夫哥罗德市，第六届国际科学工业论坛《核工程展》，第二届国际科学实践论坛《管理复杂工程项目的生命周期，发展有竞争力的建筑技术》；</w:t>
      </w:r>
    </w:p>
    <w:p>
      <w:pPr>
        <w:pStyle w:val="Normal"/>
        <w:rPr>
          <w:rFonts w:ascii="Calibri" w:hAnsi="Calibri" w:cs="Calibri"/>
          <w:sz w:val="22"/>
          <w:szCs w:val="22"/>
          <w:lang w:bidi="ru-RU"/>
        </w:rPr>
      </w:pPr>
      <w:r>
        <w:rPr>
          <w:rFonts w:cs="Calibri" w:ascii="Calibri" w:hAnsi="Calibri"/>
          <w:sz w:val="22"/>
          <w:szCs w:val="22"/>
          <w:lang w:bidi="ru-RU"/>
        </w:rPr>
        <w:t xml:space="preserve">- 2012年10月16至17日，奥布宁斯克，技术大会（研讨会），讨论中俄两国跨界水体水质检测方法和实验保障；</w:t>
      </w:r>
    </w:p>
    <w:p>
      <w:pPr>
        <w:pStyle w:val="Normal"/>
        <w:rPr>
          <w:rFonts w:ascii="Calibri" w:hAnsi="Calibri" w:cs="Calibri"/>
          <w:sz w:val="22"/>
          <w:szCs w:val="22"/>
          <w:lang w:bidi="ru-RU"/>
        </w:rPr>
      </w:pPr>
      <w:r>
        <w:rPr>
          <w:rFonts w:cs="Calibri" w:ascii="Calibri" w:hAnsi="Calibri"/>
          <w:sz w:val="22"/>
          <w:szCs w:val="22"/>
          <w:lang w:bidi="ru-RU"/>
        </w:rPr>
        <w:t xml:space="preserve">- 2013年11月22至23日，圣彼得堡市，中俄文化和旅游论坛；</w:t>
      </w:r>
    </w:p>
    <w:p>
      <w:pPr>
        <w:pStyle w:val="Normal"/>
        <w:rPr>
          <w:rFonts w:ascii="Calibri" w:hAnsi="Calibri" w:cs="Calibri"/>
          <w:sz w:val="22"/>
          <w:szCs w:val="22"/>
          <w:lang w:bidi="ru-RU"/>
        </w:rPr>
      </w:pPr>
      <w:r>
        <w:rPr>
          <w:rFonts w:cs="Calibri" w:ascii="Calibri" w:hAnsi="Calibri"/>
          <w:sz w:val="22"/>
          <w:szCs w:val="22"/>
          <w:lang w:bidi="ru-RU"/>
        </w:rPr>
        <w:t xml:space="preserve">- 2014年9月14日，乌里扬诺夫斯克市，俄罗斯和中国青年学者圆桌会议， 题为《青年即是未来》；</w:t>
      </w:r>
    </w:p>
    <w:p>
      <w:pPr>
        <w:pStyle w:val="Normal"/>
        <w:rPr>
          <w:rFonts w:ascii="Calibri" w:hAnsi="Calibri" w:cs="Calibri"/>
          <w:sz w:val="22"/>
          <w:szCs w:val="22"/>
          <w:lang w:bidi="ru-RU"/>
        </w:rPr>
      </w:pPr>
      <w:r>
        <w:rPr>
          <w:rFonts w:cs="Calibri" w:ascii="Calibri" w:hAnsi="Calibri"/>
          <w:sz w:val="22"/>
          <w:szCs w:val="22"/>
          <w:lang w:bidi="ru-RU"/>
        </w:rPr>
        <w:t xml:space="preserve">- 2014年10月13日，莫斯科市，中俄工作组第三次在高速铁路领域合作会议，发展和创造“莫斯科–北京”欧亚高速运输走廊，包括“莫斯科–喀山”优先高速铁路项目。</w:t>
      </w:r>
    </w:p>
    <w:p>
      <w:pPr>
        <w:pStyle w:val="Normal"/>
        <w:rPr>
          <w:rFonts w:ascii="Calibri" w:hAnsi="Calibri" w:cs="Calibri"/>
          <w:sz w:val="22"/>
          <w:szCs w:val="22"/>
          <w:lang w:bidi="ru-RU"/>
        </w:rPr>
      </w:pPr>
      <w:r>
        <w:rPr>
          <w:rFonts w:cs="Calibri" w:ascii="Calibri" w:hAnsi="Calibri"/>
          <w:sz w:val="22"/>
          <w:szCs w:val="22"/>
          <w:lang w:bidi="ru-RU"/>
        </w:rPr>
        <w:t xml:space="preserve">  在这次会议中只参加了一部份同传工作。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托木斯克理工大学语言交际学院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2001 年 - 2006 年 </w:t>
        <w:br/>
      </w:r>
      <w:r>
        <w:rPr>
          <w:i/>
          <w:iCs/>
          <w:sz w:val="22"/>
          <w:szCs w:val="22"/>
        </w:rPr>
        <w:t>汉俄语教师</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后贝加尔国立人文师范大学外语系汉俄语教研室（赤塔市）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2000 年 - 2001 年 </w:t>
        <w:br/>
      </w:r>
      <w:r>
        <w:rPr>
          <w:i/>
          <w:iCs/>
          <w:sz w:val="22"/>
          <w:szCs w:val="22"/>
        </w:rPr>
        <w:t>资深汉语教师</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“Zabaykal Agroles”有限责任公司（赤塔市）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1999 年 - 2000 年 </w:t>
        <w:br/>
      </w:r>
      <w:r>
        <w:rPr>
          <w:i/>
          <w:iCs/>
          <w:sz w:val="22"/>
          <w:szCs w:val="22"/>
        </w:rPr>
        <w:t>汉俄语翻译，总经理助理</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1998 年 - 1999 年 </w:t>
        <w:br/>
      </w:r>
      <w:r>
        <w:rPr>
          <w:i/>
          <w:iCs/>
          <w:sz w:val="22"/>
          <w:szCs w:val="22"/>
        </w:rPr>
        <w:t>汉俄语翻译、汉俄语教师</w:t>
      </w:r>
    </w:p>
    <w:p>
      <w:pPr>
        <w:pStyle w:val="Normal"/>
        <w:rPr>
          <w:rFonts w:ascii="Calibri" w:hAnsi="Calibri" w:cs="Calibri"/>
          <w:sz w:val="22"/>
          <w:szCs w:val="22"/>
          <w:lang w:bidi="ru-RU"/>
        </w:rPr>
      </w:pPr>
      <w:r>
        <w:rPr>
          <w:rFonts w:cs="Calibri" w:ascii="Calibri" w:hAnsi="Calibri"/>
          <w:sz w:val="22"/>
          <w:szCs w:val="22"/>
          <w:lang w:bidi="ru-RU"/>
        </w:rPr>
        <w:t xml:space="preserve">为中国商务代表在乌克兰提供翻译服务。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1997 年 - 1998 年 </w:t>
        <w:br/>
      </w:r>
      <w:r>
        <w:rPr>
          <w:i/>
          <w:iCs/>
          <w:sz w:val="22"/>
          <w:szCs w:val="22"/>
        </w:rPr>
        <w:t>汉俄语教师、汉俄语翻译</w:t>
      </w:r>
    </w:p>
    <w:p>
      <w:pPr>
        <w:pStyle w:val="Normal"/>
        <w:rPr>
          <w:rFonts w:ascii="Calibri" w:hAnsi="Calibri" w:cs="Calibri"/>
          <w:sz w:val="22"/>
          <w:szCs w:val="22"/>
          <w:lang w:bidi="ru-RU"/>
        </w:rPr>
      </w:pPr>
      <w:r>
        <w:rPr>
          <w:rFonts w:cs="Calibri" w:ascii="Calibri" w:hAnsi="Calibri"/>
          <w:sz w:val="22"/>
          <w:szCs w:val="22"/>
          <w:lang w:bidi="ru-RU"/>
        </w:rPr>
        <w:t xml:space="preserve">与后贝加尔国立人文师范大学汉俄语教研室合作编写新的适合于俄罗斯大学生的汉俄语教材。</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齐齐哈尔运输和销售贸易公司（中国齐齐哈尔市）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1994 年 - 1996 年 </w:t>
        <w:br/>
      </w:r>
      <w:r>
        <w:rPr>
          <w:i/>
          <w:iCs/>
          <w:sz w:val="22"/>
          <w:szCs w:val="22"/>
        </w:rPr>
        <w:t>教师</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齐齐哈尔广播电视大学 (1990 年 – 1992 年)</w:t>
      </w:r>
    </w:p>
    <w:p>
      <w:pPr>
        <w:pStyle w:val="Normal"/>
        <w:rPr>
          <w:rFonts w:ascii="Calibri" w:hAnsi="Calibri" w:cs="Calibri"/>
          <w:sz w:val="22"/>
          <w:szCs w:val="22"/>
          <w:lang w:bidi="ru-RU"/>
        </w:rPr>
      </w:pPr>
      <w:r>
        <w:rPr/>
        <w:t>院系: </w:t>
      </w:r>
      <w:r>
        <w:rPr/>
        <w:t>经济系</w:t>
      </w:r>
    </w:p>
    <w:p>
      <w:pPr>
        <w:pStyle w:val="Normal"/>
        <w:rPr>
          <w:rFonts w:ascii="Calibri" w:hAnsi="Calibri" w:cs="Calibri"/>
          <w:sz w:val="22"/>
          <w:szCs w:val="22"/>
          <w:lang w:bidi="ru-RU"/>
        </w:rPr>
      </w:pPr>
      <w:r>
        <w:rPr/>
        <w:t>专业: </w:t>
      </w:r>
      <w:r>
        <w:rPr/>
        <w:t>税务和金融（大学速成培训课程）</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中国黑龙江民盟大学齐齐哈尔分校 (1990 年 – 1996 年)</w:t>
      </w:r>
    </w:p>
    <w:p>
      <w:pPr>
        <w:pStyle w:val="Normal"/>
        <w:rPr>
          <w:rFonts w:ascii="Calibri" w:hAnsi="Calibri" w:cs="Calibri"/>
          <w:sz w:val="22"/>
          <w:szCs w:val="22"/>
          <w:lang w:bidi="ru-RU"/>
        </w:rPr>
      </w:pPr>
      <w:r>
        <w:rPr/>
        <w:t>专业: </w:t>
      </w:r>
      <w:r>
        <w:rPr/>
        <w:t>汉语语言文学</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后贝加尔国立人文师范大学（赤塔市） (1996 年 – 1998 年)</w:t>
      </w:r>
    </w:p>
    <w:p>
      <w:pPr>
        <w:pStyle w:val="Normal"/>
        <w:rPr>
          <w:rFonts w:ascii="Calibri" w:hAnsi="Calibri" w:cs="Calibri"/>
          <w:sz w:val="22"/>
          <w:szCs w:val="22"/>
          <w:lang w:bidi="ru-RU"/>
        </w:rPr>
      </w:pPr>
      <w:r>
        <w:rPr/>
        <w:t>院系: </w:t>
      </w:r>
      <w:r>
        <w:rPr/>
        <w:t>俄语语言文学系</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https://www.ezhongfanyi.com/translators/ma-tyanyuy-kristina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