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w:rPr>
                            <w:drawing>
                                <wp:inline distT="0" distB="0" distL="0" distR="0">
                                    <wp:extent cx="1609090" cy="1828800"/>
                                    <wp:effectExtent l="0" t="0" r="0" b="0"/>
                                    <wp:docPr id="1" name="Рисунок 5" descr=""></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pic:cNvPr>
                                                        <pic:cNvPicPr>
                                                            <a:picLocks noChangeAspect="1" noChangeArrowheads="1"/>
                                                        </pic:cNvPicPr>
                                                    </pic:nvPicPr>
                                                    <pic:blipFill>
                                                        <a:blip r:embed="rId2"></a:blip>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pPr>
                            <w:r>
                                <w:rPr>
                                    <w:rFonts w:cs="Calibri" w:ascii="Calibri" w:hAnsi="Calibri"/>
                                    <w:b/>
                                    <w:bCs/>
                                    <w:color w:val="0E2841" w:themeColor="text2"/>
                                    <w:sz w:val="36"/>
                                    <w:szCs w:val="36"/>
                                    <w:lang w:val="en-US"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马丽娜</w:t>
                            </w:r>
                        </w:p><w:p>
		    <w:pPr>
			<w:pStyle w:val="Normal"/>
			<w:rPr>
				<w:rFonts w:ascii="Calibri" w:hAnsi="Calibri" w:cs="Calibri"/>
				<w:sz w:val="22"/>
				<w:szCs w:val="22"/>
				<w:lang w:bidi="ru-RU"/>
			</w:rPr>
		</w:pPr>
		<w:r>
			<w:rPr>
				<w:rFonts w:cs="Calibri" w:ascii="Calibri" w:hAnsi="Calibri"/>
				<w:sz w:val="22"/>
				<w:szCs w:val="22"/>
				<w:lang w:bidi="ru-RU"/>
			</w:rPr>
			<w:t xml:space="preserve">您好！我叫马丽娜，在莫斯科市和莫斯科州提供汉俄和俄汉口笔译服务。我在国际展会、谈判、设备的安装和试车调试以及其它活动中从事翻译工作。</w:t></w:r></w:p>
<w:p>
		    <w:pPr>
			<w:pStyle w:val="Normal"/>
			<w:rPr>
				<w:rFonts w:ascii="Calibri" w:hAnsi="Calibri" w:cs="Calibri"/>
				<w:sz w:val="22"/>
				<w:szCs w:val="22"/>
				<w:lang w:bidi="ru-RU"/>
			</w:rPr>
		</w:pPr>
		<w:r>
			<w:rPr>
				<w:rFonts w:cs="Calibri" w:ascii="Calibri" w:hAnsi="Calibri"/>
				<w:sz w:val="22"/>
				<w:szCs w:val="22"/>
				<w:lang w:bidi="ru-RU"/>
			</w:rPr>
			<w:t xml:space="preserve">我还与公证处有工作关系，可以提供所有证明自己专业资格的必要文件。</w:t></w:r></w:p>
<w:p>
		    <w:pPr>
			<w:pStyle w:val="Normal"/>
			<w:rPr>
				<w:rFonts w:ascii="Calibri" w:hAnsi="Calibri" w:cs="Calibri"/>
				<w:sz w:val="22"/>
				<w:szCs w:val="22"/>
				<w:lang w:bidi="ru-RU"/>
			</w:rPr>
		</w:pPr>
		<w:r>
			<w:rPr>
				<w:rFonts w:cs="Calibri" w:ascii="Calibri" w:hAnsi="Calibri"/>
				<w:sz w:val="22"/>
				<w:szCs w:val="22"/>
				<w:lang w:bidi="ru-RU"/>
			</w:rPr>
			<w:t xml:space="preserve">工作经验：自2008年开始笔译，自2009年开始交替传译。</w:t></w:r></w:p>
<w:p>
		    <w:pPr>
			<w:pStyle w:val="Normal"/>
			<w:rPr>
				<w:rFonts w:ascii="Calibri" w:hAnsi="Calibri" w:cs="Calibri"/>
				<w:sz w:val="22"/>
				<w:szCs w:val="22"/>
				<w:lang w:bidi="ru-RU"/>
			</w:rPr>
		</w:pPr>
		<w:r>
			<w:rPr>
				<w:rFonts w:cs="Calibri" w:ascii="Calibri" w:hAnsi="Calibri"/>
				<w:sz w:val="22"/>
				<w:szCs w:val="22"/>
				<w:lang w:bidi="ru-RU"/>
			</w:rPr>
			<w:t xml:space="preserve">我在消防安全、中国传统医学、铸铁制品、印刷设备、玻璃纸产品、医疗器械、建材、塑料加工、复合材料、金属和其他领域有丰富的笔译和口译经验。</w:t></w:r></w:p>
<w:p>
		    <w:pPr>
			<w:pStyle w:val="Normal"/>
			<w:rPr>
				<w:rFonts w:ascii="Calibri" w:hAnsi="Calibri" w:cs="Calibri"/>
				<w:sz w:val="22"/>
				<w:szCs w:val="22"/>
				<w:lang w:bidi="ru-RU"/>
			</w:rPr>
		</w:pPr>
		<w:r>
			<w:rPr>
				<w:rFonts w:cs="Calibri" w:ascii="Calibri" w:hAnsi="Calibri"/>
				<w:sz w:val="22"/>
				<w:szCs w:val="22"/>
				<w:lang w:bidi="ru-RU"/>
			</w:rPr>
			<w:t xml:space="preserve">我将非常高兴与您合作！</w:t></w:r></w:p>
                    
                    </w:tc>
                </w:tr>
                <w:tr>
                    <w:trPr></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pPr>
                            <w:r>
                                <w:rPr>
                                    <w:rFonts w:cs="Calibri" w:ascii="Calibri" w:hAnsi="Calibri"/>
                                    <w:b/>
                                    <w:bCs/>
                                    <w:color w:val="0E2841" w:themeColor="text2"/>
                                    <w:kern w:val="2"/>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w:rPr>
                </w:pPr>
                <w:r>
                    <w:rPr></w:rPr>
                </w:r>
            </w:p>
            <w:p>
                <w:pPr>
                    <w:pStyle w:val="Normal"/>
                    <w:rPr></w:rPr>
                </w:pPr>
                <w:r>
                    <w:rPr></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在莫斯科市负责口译和笔译工作。</w:t></w:r></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- 2014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在商务谈判、设备安装和其它活动领域中担任翻译，合作过的公司有：</w:t></w:r></w:p>
<w:p>
		    <w:pPr>
			<w:pStyle w:val="Normal"/>
			<w:rPr>
				<w:rFonts w:ascii="Calibri" w:hAnsi="Calibri" w:cs="Calibri"/>
				<w:sz w:val="22"/>
				<w:szCs w:val="22"/>
				<w:lang w:bidi="ru-RU"/>
			</w:rPr>
		</w:pPr>
		<w:r>
			<w:rPr>
				<w:rFonts w:cs="Calibri" w:ascii="Calibri" w:hAnsi="Calibri"/>
				<w:sz w:val="22"/>
				<w:szCs w:val="22"/>
				<w:lang w:bidi="ru-RU"/>
			</w:rPr>
			<w:t xml:space="preserve">- “健康快乐”中式按摩院在萨马拉和陶里亚蒂的分店：</w:t></w:r></w:p>
<w:p>
		    <w:pPr>
			<w:pStyle w:val="Normal"/>
			<w:rPr>
				<w:rFonts w:ascii="Calibri" w:hAnsi="Calibri" w:cs="Calibri"/>
				<w:sz w:val="22"/>
				<w:szCs w:val="22"/>
				<w:lang w:bidi="ru-RU"/>
			</w:rPr>
		</w:pPr>
		<w:r>
			<w:rPr>
				<w:rFonts w:cs="Calibri" w:ascii="Calibri" w:hAnsi="Calibri"/>
				<w:sz w:val="22"/>
				<w:szCs w:val="22"/>
				<w:lang w:bidi="ru-RU"/>
			</w:rPr>
			<w:t xml:space="preserve">在按摩技师班和商谈中担任口语翻译，对文件、演示文稿和诊疗促销产品进行书面翻译；</w:t></w:r></w:p>
<w:p>
		    <w:pPr>
			<w:pStyle w:val="Normal"/>
			<w:rPr>
				<w:rFonts w:ascii="Calibri" w:hAnsi="Calibri" w:cs="Calibri"/>
				<w:sz w:val="22"/>
				<w:szCs w:val="22"/>
				<w:lang w:bidi="ru-RU"/>
			</w:rPr>
		</w:pPr>
		<w:r>
			<w:rPr>
				<w:rFonts w:cs="Calibri" w:ascii="Calibri" w:hAnsi="Calibri"/>
				<w:sz w:val="22"/>
				<w:szCs w:val="22"/>
				<w:lang w:bidi="ru-RU"/>
			</w:rPr>
			<w:t xml:space="preserve">- AIKYU (SHANGHAI) MACHINES & TECHNOLOGY CO., LTD.（莫斯科市）：</w:t></w:r></w:p>
<w:p>
		    <w:pPr>
			<w:pStyle w:val="Normal"/>
			<w:rPr>
				<w:rFonts w:ascii="Calibri" w:hAnsi="Calibri" w:cs="Calibri"/>
				<w:sz w:val="22"/>
				<w:szCs w:val="22"/>
				<w:lang w:bidi="ru-RU"/>
			</w:rPr>
		</w:pPr>
		<w:r>
			<w:rPr>
				<w:rFonts w:cs="Calibri" w:ascii="Calibri" w:hAnsi="Calibri"/>
				<w:sz w:val="22"/>
				<w:szCs w:val="22"/>
				<w:lang w:bidi="ru-RU"/>
			</w:rPr>
			<w:t xml:space="preserve">在工厂对印刷设备进行验收中为外国专家提供陪同翻译。在全自动滚筒式丝网印刷机的试车调试中担任交传工作；</w:t></w:r></w:p>
<w:p>
		    <w:pPr>
			<w:pStyle w:val="Normal"/>
			<w:rPr>
				<w:rFonts w:ascii="Calibri" w:hAnsi="Calibri" w:cs="Calibri"/>
				<w:sz w:val="22"/>
				<w:szCs w:val="22"/>
				<w:lang w:bidi="ru-RU"/>
			</w:rPr>
		</w:pPr>
		<w:r>
			<w:rPr>
				<w:rFonts w:cs="Calibri" w:ascii="Calibri" w:hAnsi="Calibri"/>
				<w:sz w:val="22"/>
				<w:szCs w:val="22"/>
				<w:lang w:bidi="ru-RU"/>
			</w:rPr>
			<w:t xml:space="preserve">- "Автострада"有限责任公司（萨马拉市）：</w:t></w:r></w:p>
<w:p>
		    <w:pPr>
			<w:pStyle w:val="Normal"/>
			<w:rPr>
				<w:rFonts w:ascii="Calibri" w:hAnsi="Calibri" w:cs="Calibri"/>
				<w:sz w:val="22"/>
				<w:szCs w:val="22"/>
				<w:lang w:bidi="ru-RU"/>
			</w:rPr>
		</w:pPr>
		<w:r>
			<w:rPr>
				<w:rFonts w:cs="Calibri" w:ascii="Calibri" w:hAnsi="Calibri"/>
				<w:sz w:val="22"/>
				<w:szCs w:val="22"/>
				<w:lang w:bidi="ru-RU"/>
			</w:rPr>
			<w:t xml:space="preserve">寻找中国厂商（热浸镀锌生产线），翻译所有汉语和英文技术文件、图纸、发票、装箱单、向俄罗斯运输的装箱协议；</w:t></w:r></w:p>
<w:p>
		    <w:pPr>
			<w:pStyle w:val="Normal"/>
			<w:rPr>
				<w:rFonts w:ascii="Calibri" w:hAnsi="Calibri" w:cs="Calibri"/>
				<w:sz w:val="22"/>
				<w:szCs w:val="22"/>
				<w:lang w:bidi="ru-RU"/>
			</w:rPr>
		</w:pPr>
		<w:r>
			<w:rPr>
				<w:rFonts w:cs="Calibri" w:ascii="Calibri" w:hAnsi="Calibri"/>
				<w:sz w:val="22"/>
				<w:szCs w:val="22"/>
				<w:lang w:bidi="ru-RU"/>
			</w:rPr>
			<w:t xml:space="preserve">- INSERK-NN（下诺夫哥罗德市）：</w:t></w:r></w:p>
<w:p>
		    <w:pPr>
			<w:pStyle w:val="Normal"/>
			<w:rPr>
				<w:rFonts w:ascii="Calibri" w:hAnsi="Calibri" w:cs="Calibri"/>
				<w:sz w:val="22"/>
				<w:szCs w:val="22"/>
				<w:lang w:bidi="ru-RU"/>
			</w:rPr>
		</w:pPr>
		<w:r>
			<w:rPr>
				<w:rFonts w:cs="Calibri" w:ascii="Calibri" w:hAnsi="Calibri"/>
				<w:sz w:val="22"/>
				<w:szCs w:val="22"/>
				<w:lang w:bidi="ru-RU"/>
			</w:rPr>
			<w:t xml:space="preserve">陪同公司总经理参加广交会，与中国制造商进行沟通，选择产品（用于农业机械的V型皮带）。在访问中国制造商的工厂（浙江省宁波市）和业务谈判期间担任交传翻译；</w:t></w:r></w:p>
<w:p>
		    <w:pPr>
			<w:pStyle w:val="Normal"/>
			<w:rPr>
				<w:rFonts w:ascii="Calibri" w:hAnsi="Calibri" w:cs="Calibri"/>
				<w:sz w:val="22"/>
				<w:szCs w:val="22"/>
				<w:lang w:bidi="ru-RU"/>
			</w:rPr>
		</w:pPr>
		<w:r>
			<w:rPr>
				<w:rFonts w:cs="Calibri" w:ascii="Calibri" w:hAnsi="Calibri"/>
				<w:sz w:val="22"/>
				<w:szCs w:val="22"/>
				<w:lang w:bidi="ru-RU"/>
			</w:rPr>
			<w:t xml:space="preserve">- 萨马拉州政府代表团：</w:t></w:r></w:p>
<w:p>
		    <w:pPr>
			<w:pStyle w:val="Normal"/>
			<w:rPr>
				<w:rFonts w:ascii="Calibri" w:hAnsi="Calibri" w:cs="Calibri"/>
				<w:sz w:val="22"/>
				<w:szCs w:val="22"/>
				<w:lang w:bidi="ru-RU"/>
			</w:rPr>
		</w:pPr>
		<w:r>
			<w:rPr>
				<w:rFonts w:cs="Calibri" w:ascii="Calibri" w:hAnsi="Calibri"/>
				<w:sz w:val="22"/>
				<w:szCs w:val="22"/>
				<w:lang w:bidi="ru-RU"/>
			</w:rPr>
			<w:t xml:space="preserve">在深圳的CHTF-2010展会上担任翻译，与客户和展会嘉宾沟通。在萨马拉州展台担任交传翻译，陪同俄罗斯专业访问中国厂商的工厂和实验室；</w:t></w:r></w:p>
<w:p>
		    <w:pPr>
			<w:pStyle w:val="Normal"/>
			<w:rPr>
				<w:rFonts w:ascii="Calibri" w:hAnsi="Calibri" w:cs="Calibri"/>
				<w:sz w:val="22"/>
				<w:szCs w:val="22"/>
				<w:lang w:bidi="ru-RU"/>
			</w:rPr>
		</w:pPr>
		<w:r>
			<w:rPr>
				<w:rFonts w:cs="Calibri" w:ascii="Calibri" w:hAnsi="Calibri"/>
				<w:sz w:val="22"/>
				<w:szCs w:val="22"/>
				<w:lang w:bidi="ru-RU"/>
			</w:rPr>
			<w:t xml:space="preserve">- “ORTO Inzhiniring”有限公司（萨马拉市）：</w:t></w:r></w:p>
<w:p>
		    <w:pPr>
			<w:pStyle w:val="Normal"/>
			<w:rPr>
				<w:rFonts w:ascii="Calibri" w:hAnsi="Calibri" w:cs="Calibri"/>
				<w:sz w:val="22"/>
				<w:szCs w:val="22"/>
				<w:lang w:bidi="ru-RU"/>
			</w:rPr>
		</w:pPr>
		<w:r>
			<w:rPr>
				<w:rFonts w:cs="Calibri" w:ascii="Calibri" w:hAnsi="Calibri"/>
				<w:sz w:val="22"/>
				<w:szCs w:val="22"/>
				<w:lang w:bidi="ru-RU"/>
			</w:rPr>
			<w:t xml:space="preserve">在挤出生产线的安装和试车调试中担任交传翻译；</w:t></w:r></w:p>
<w:p>
		    <w:pPr>
			<w:pStyle w:val="Normal"/>
			<w:rPr>
				<w:rFonts w:ascii="Calibri" w:hAnsi="Calibri" w:cs="Calibri"/>
				<w:sz w:val="22"/>
				<w:szCs w:val="22"/>
				<w:lang w:bidi="ru-RU"/>
			</w:rPr>
		</w:pPr>
		<w:r>
			<w:rPr>
				<w:rFonts w:cs="Calibri" w:ascii="Calibri" w:hAnsi="Calibri"/>
				<w:sz w:val="22"/>
				<w:szCs w:val="22"/>
				<w:lang w:bidi="ru-RU"/>
			</w:rPr>
			<w:t xml:space="preserve">- “Grand Toys”集团公司（陶里亚蒂市）：</w:t></w:r></w:p>
<w:p>
		    <w:pPr>
			<w:pStyle w:val="Normal"/>
			<w:rPr>
				<w:rFonts w:ascii="Calibri" w:hAnsi="Calibri" w:cs="Calibri"/>
				<w:sz w:val="22"/>
				<w:szCs w:val="22"/>
				<w:lang w:bidi="ru-RU"/>
			</w:rPr>
		</w:pPr>
		<w:r>
			<w:rPr>
				<w:rFonts w:cs="Calibri" w:ascii="Calibri" w:hAnsi="Calibri"/>
				<w:sz w:val="22"/>
				<w:szCs w:val="22"/>
				<w:lang w:bidi="ru-RU"/>
			</w:rPr>
			<w:t xml:space="preserve">在商务谈判、产品演示中担任交传翻译。陪同中国合作伙伴参观“河马”零售连锁企业，以及验收该公司厂房和库房；</w:t></w:r></w:p>
<w:p>
		    <w:pPr>
			<w:pStyle w:val="Normal"/>
			<w:rPr>
				<w:rFonts w:ascii="Calibri" w:hAnsi="Calibri" w:cs="Calibri"/>
				<w:sz w:val="22"/>
				<w:szCs w:val="22"/>
				<w:lang w:bidi="ru-RU"/>
			</w:rPr>
		</w:pPr>
		<w:r>
			<w:rPr>
				<w:rFonts w:cs="Calibri" w:ascii="Calibri" w:hAnsi="Calibri"/>
				<w:sz w:val="22"/>
				<w:szCs w:val="22"/>
				<w:lang w:bidi="ru-RU"/>
			</w:rPr>
			<w:t xml:space="preserve">- “萨马拉弯”封闭股份公司（萨马拉市）：</w:t></w:r></w:p>
<w:p>
		    <w:pPr>
			<w:pStyle w:val="Normal"/>
			<w:rPr>
				<w:rFonts w:ascii="Calibri" w:hAnsi="Calibri" w:cs="Calibri"/>
				<w:sz w:val="22"/>
				<w:szCs w:val="22"/>
				<w:lang w:bidi="ru-RU"/>
			</w:rPr>
		</w:pPr>
		<w:r>
			<w:rPr>
				<w:rFonts w:cs="Calibri" w:ascii="Calibri" w:hAnsi="Calibri"/>
				<w:sz w:val="22"/>
				<w:szCs w:val="22"/>
				<w:lang w:bidi="ru-RU"/>
			</w:rPr>
			<w:t xml:space="preserve">在中国专家对混凝土泵进行技术维护过程中担任交传翻译；</w:t></w:r></w:p>
<w:p>
		    <w:pPr>
			<w:pStyle w:val="Normal"/>
			<w:rPr>
				<w:rFonts w:ascii="Calibri" w:hAnsi="Calibri" w:cs="Calibri"/>
				<w:sz w:val="22"/>
				<w:szCs w:val="22"/>
				<w:lang w:bidi="ru-RU"/>
			</w:rPr>
		</w:pPr>
		<w:r>
			<w:rPr>
				<w:rFonts w:cs="Calibri" w:ascii="Calibri" w:hAnsi="Calibri"/>
				<w:sz w:val="22"/>
				<w:szCs w:val="22"/>
				<w:lang w:bidi="ru-RU"/>
			</w:rPr>
			<w:t xml:space="preserve">- “Elektroshchit”集团公司（萨马拉市）：</w:t></w:r></w:p>
<w:p>
		    <w:pPr>
			<w:pStyle w:val="Normal"/>
			<w:rPr>
				<w:rFonts w:ascii="Calibri" w:hAnsi="Calibri" w:cs="Calibri"/>
				<w:sz w:val="22"/>
				<w:szCs w:val="22"/>
				<w:lang w:bidi="ru-RU"/>
			</w:rPr>
		</w:pPr>
		<w:r>
			<w:rPr>
				<w:rFonts w:cs="Calibri" w:ascii="Calibri" w:hAnsi="Calibri"/>
				<w:sz w:val="22"/>
				<w:szCs w:val="22"/>
				<w:lang w:bidi="ru-RU"/>
			</w:rPr>
			<w:t xml:space="preserve">在对脉冲电压测试设备进行安装和试车调试期间担任交传翻译；</w:t></w:r></w:p>
<w:p>
		    <w:pPr>
			<w:pStyle w:val="Normal"/>
			<w:rPr>
				<w:rFonts w:ascii="Calibri" w:hAnsi="Calibri" w:cs="Calibri"/>
				<w:sz w:val="22"/>
				<w:szCs w:val="22"/>
				<w:lang w:bidi="ru-RU"/>
			</w:rPr>
		</w:pPr>
		<w:r>
			<w:rPr>
				<w:rFonts w:cs="Calibri" w:ascii="Calibri" w:hAnsi="Calibri"/>
				<w:sz w:val="22"/>
				<w:szCs w:val="22"/>
				<w:lang w:bidi="ru-RU"/>
			</w:rPr>
			<w:t xml:space="preserve">- “SVK Pilot”有限责任公司：</w:t></w:r></w:p>
<w:p>
		    <w:pPr>
			<w:pStyle w:val="Normal"/>
			<w:rPr>
				<w:rFonts w:ascii="Calibri" w:hAnsi="Calibri" w:cs="Calibri"/>
				<w:sz w:val="22"/>
				<w:szCs w:val="22"/>
				<w:lang w:bidi="ru-RU"/>
			</w:rPr>
		</w:pPr>
		<w:r>
			<w:rPr>
				<w:rFonts w:cs="Calibri" w:ascii="Calibri" w:hAnsi="Calibri"/>
				<w:sz w:val="22"/>
				<w:szCs w:val="22"/>
				<w:lang w:bidi="ru-RU"/>
			</w:rPr>
			<w:t xml:space="preserve">在与中国技术专业进行谈判期间担任交传翻译（破碎和球磨设备）；</w:t></w:r></w:p>
<w:p>
		    <w:pPr>
			<w:pStyle w:val="Normal"/>
			<w:rPr>
				<w:rFonts w:ascii="Calibri" w:hAnsi="Calibri" w:cs="Calibri"/>
				<w:sz w:val="22"/>
				<w:szCs w:val="22"/>
				<w:lang w:bidi="ru-RU"/>
			</w:rPr>
		</w:pPr>
		<w:r>
			<w:rPr>
				<w:rFonts w:cs="Calibri" w:ascii="Calibri" w:hAnsi="Calibri"/>
				<w:sz w:val="22"/>
				<w:szCs w:val="22"/>
				<w:lang w:bidi="ru-RU"/>
			</w:rPr>
			<w:t xml:space="preserve">- “DMZ”有限责任公司（季米特洛夫市）：</w:t></w:r></w:p>
<w:p>
		    <w:pPr>
			<w:pStyle w:val="Normal"/>
			<w:rPr>
				<w:rFonts w:ascii="Calibri" w:hAnsi="Calibri" w:cs="Calibri"/>
				<w:sz w:val="22"/>
				<w:szCs w:val="22"/>
				<w:lang w:bidi="ru-RU"/>
			</w:rPr>
		</w:pPr>
		<w:r>
			<w:rPr>
				<w:rFonts w:cs="Calibri" w:ascii="Calibri" w:hAnsi="Calibri"/>
				<w:sz w:val="22"/>
				<w:szCs w:val="22"/>
				<w:lang w:bidi="ru-RU"/>
			</w:rPr>
			<w:t xml:space="preserve">在安装和调试感应炉期间担任交传翻译。在俄罗斯技术专家在中国烟台市的中国厂家验收设备期间担任陪同翻译，并且翻译技术文件；</w:t></w:r></w:p>
<w:p>
		    <w:pPr>
			<w:pStyle w:val="Normal"/>
			<w:rPr>
				<w:rFonts w:ascii="Calibri" w:hAnsi="Calibri" w:cs="Calibri"/>
				<w:sz w:val="22"/>
				<w:szCs w:val="22"/>
				<w:lang w:bidi="ru-RU"/>
			</w:rPr>
		</w:pPr>
		<w:r>
			<w:rPr>
				<w:rFonts w:cs="Calibri" w:ascii="Calibri" w:hAnsi="Calibri"/>
				<w:sz w:val="22"/>
				<w:szCs w:val="22"/>
				<w:lang w:bidi="ru-RU"/>
			</w:rPr>
			<w:t xml:space="preserve">- Iris’k Professional （莫斯科市）：</w:t></w:r></w:p>
<w:p>
		    <w:pPr>
			<w:pStyle w:val="Normal"/>
			<w:rPr>
				<w:rFonts w:ascii="Calibri" w:hAnsi="Calibri" w:cs="Calibri"/>
				<w:sz w:val="22"/>
				<w:szCs w:val="22"/>
				<w:lang w:bidi="ru-RU"/>
			</w:rPr>
		</w:pPr>
		<w:r>
			<w:rPr>
				<w:rFonts w:cs="Calibri" w:ascii="Calibri" w:hAnsi="Calibri"/>
				<w:sz w:val="22"/>
				<w:szCs w:val="22"/>
				<w:lang w:bidi="ru-RU"/>
			</w:rPr>
			<w:t xml:space="preserve">在莫斯科CROCUS EXPO展览中心举行的Lash Time论坛上，为Grace Pan（台湾）发明的睫毛接长独特方法所做报告提供交替传译。报告题为《用于接长睫毛的现代材料，多层接长，适合亚洲眼形的睫毛接长》；</w:t></w:r></w:p>
<w:p>
		    <w:pPr>
			<w:pStyle w:val="Normal"/>
			<w:rPr>
				<w:rFonts w:ascii="Calibri" w:hAnsi="Calibri" w:cs="Calibri"/>
				<w:sz w:val="22"/>
				<w:szCs w:val="22"/>
				<w:lang w:bidi="ru-RU"/>
			</w:rPr>
		</w:pPr>
		<w:r>
			<w:rPr>
				<w:rFonts w:cs="Calibri" w:ascii="Calibri" w:hAnsi="Calibri"/>
				<w:sz w:val="22"/>
				<w:szCs w:val="22"/>
				<w:lang w:bidi="ru-RU"/>
			</w:rPr>
			<w:t xml:space="preserve">- “Kontinent-T”有限责任公司（莫斯科市）：</w:t></w:r></w:p>
<w:p>
		    <w:pPr>
			<w:pStyle w:val="Normal"/>
			<w:rPr>
				<w:rFonts w:ascii="Calibri" w:hAnsi="Calibri" w:cs="Calibri"/>
				<w:sz w:val="22"/>
				<w:szCs w:val="22"/>
				<w:lang w:bidi="ru-RU"/>
			</w:rPr>
		</w:pPr>
		<w:r>
			<w:rPr>
				<w:rFonts w:cs="Calibri" w:ascii="Calibri" w:hAnsi="Calibri"/>
				<w:sz w:val="22"/>
				<w:szCs w:val="22"/>
				<w:lang w:bidi="ru-RU"/>
			</w:rPr>
			<w:t xml:space="preserve">在《MIMS Automechanika Moscow 2014》汽车备件和技术维护国际展会上担任俄罗斯客户的陪同翻译。在与中国展商谈判期间担任交传翻译，并建立业务联系。</w:t></w:r></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“TAO”传统中医诊所</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- 2014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在初诊和复诊时担任交传翻译。在针灸、中式按摩和刮痧过程中进行翻译。书面翻译文件和医学文章，此外还担任行政管理工作。</w:t></w:r></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萨马拉学院–私立和企业高级学校</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- 2011 年 </w:t>
            <w:br/>
        </w:r>
        <w:r>
            <w:rPr>
                <w:i/>
                <w:iCs/>
                <w:sz w:val="22"/>
                <w:szCs w:val="22"/>
            </w:rPr>
            <w:t>汉语教师</w:t>
        </w:r>
    </w:p>

	<w:p>
		    <w:pPr>
			<w:pStyle w:val="Normal"/>
			<w:rPr>
				<w:rFonts w:ascii="Calibri" w:hAnsi="Calibri" w:cs="Calibri"/>
				<w:sz w:val="22"/>
				<w:szCs w:val="22"/>
				<w:lang w:bidi="ru-RU"/>
			</w:rPr>
		</w:pPr>
		<w:r>
			<w:rPr>
				<w:rFonts w:cs="Calibri" w:ascii="Calibri" w:hAnsi="Calibri"/>
				<w:sz w:val="22"/>
				<w:szCs w:val="22"/>
				<w:lang w:bidi="ru-RU"/>
			</w:rPr>
			<w:t xml:space="preserve">教授经济系、管理系和区域研究系1至4年级大学生汉语。</w:t></w:r></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- 2010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在国际展会上担任翻译。与客户、展会嘉宾沟通，提供展会宣传产品的信息，在商务谈判和出访俄罗斯企业期间提供翻译服务。</w:t></w:r></w:p>
<w:p>
		    <w:pPr>
			<w:pStyle w:val="Normal"/>
			<w:rPr>
				<w:rFonts w:ascii="Calibri" w:hAnsi="Calibri" w:cs="Calibri"/>
				<w:sz w:val="22"/>
				<w:szCs w:val="22"/>
				<w:lang w:bidi="ru-RU"/>
			</w:rPr>
		</w:pPr>
		<w:r>
			<w:rPr>
				<w:rFonts w:cs="Calibri" w:ascii="Calibri" w:hAnsi="Calibri"/>
				<w:sz w:val="22"/>
				<w:szCs w:val="22"/>
				<w:lang w:bidi="ru-RU"/>
			</w:rPr>
			<w:t xml:space="preserve">我在Expocentre和CROCUS EXPO展览中心从事翻译工作时所参加的展会有：</w:t></w:r></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第八届“二十一世纪消防安全”国际专业展；</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“Agroprodmash–2009”“广告–2009”；</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“家具、配件及室内装潢”（“家具-2009”）；</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“保健，医疗器械和药剂”（“保健–2009”）；</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“INTERPLASTICA 2010”；</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第三届TEXTILELEGPROM - 2010国际专业性展览会；</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MATTEX 2010–供暖，供水，供气和排水设备展；</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俄罗斯建材展2010；</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世界粮食日2010。</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2008 年 - 至今</w:t>
            <w:br/>
        </w:r>
        <w:r>
            <w:rPr>
                <w:i/>
                <w:iCs/>
                <w:sz w:val="22"/>
                <w:szCs w:val="22"/>
            </w:rPr>
            <w:t>汉语笔译翻译</w:t>
        </w:r>
    </w:p>

	<w:p>
		    <w:pPr>
			<w:pStyle w:val="Normal"/>
			<w:rPr>
				<w:rFonts w:ascii="Calibri" w:hAnsi="Calibri" w:cs="Calibri"/>
				<w:sz w:val="22"/>
				<w:szCs w:val="22"/>
				<w:lang w:bidi="ru-RU"/>
			</w:rPr>
		</w:pPr>
		<w:r>
			<w:rPr>
				<w:rFonts w:cs="Calibri" w:ascii="Calibri" w:hAnsi="Calibri"/>
				<w:sz w:val="22"/>
				<w:szCs w:val="22"/>
				<w:lang w:bidi="ru-RU"/>
			</w:rPr>
			<w:t xml:space="preserve">翻译个人资料、业务文件、说明书，翻译设备技术文件，报关单，发票。2011年为萨马拉市公证处翻译材料（汉译俄）。2014年为一位中国公司总经理翻译在莫斯科注册有限责任公司所需文件。在诸如消防安全、铸铁制品、印刷设备、玻璃纸产品、医疗器械、塑料加工，复合材料等领域有翻译经验。</w:t></w:r></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w:rPr>
		<w:t>学院: </w:t>
	</w:r>
	<w:r>
		<w:rPr></w:rPr>
		<w:t xml:space="preserve">俄罗斯人民友谊大学 (2006 年 – 2010 年)</w:t>
	</w:r>
</w:p>
<w:p>
	<w:pPr>
		<w:pStyle w:val="Normal"/>
		<w:rPr>
			<w:rFonts w:ascii="Calibri" w:hAnsi="Calibri" w:cs="Calibri"/>
			<w:sz w:val="22"/>
			<w:szCs w:val="22"/>
			<w:lang w:bidi="ru-RU"/>
		</w:rPr>
	</w:pPr>
	<w:r>
		<w:rPr></w:rPr>
		<w:t>院系: </w:t>
	</w:r>
	<w:r>
		<w:rPr></w:rPr>
		<w:t>外语学院</w:t>
	</w:r>
</w:p>
<w:p>
	<w:pPr>
		<w:pStyle w:val="Normal"/>
		<w:rPr>
			<w:rFonts w:ascii="Calibri" w:hAnsi="Calibri" w:cs="Calibri"/>
			<w:sz w:val="22"/>
			<w:szCs w:val="22"/>
			<w:lang w:bidi="ru-RU"/>
		</w:rPr>
	</w:pPr>
	<w:r>
		<w:rPr></w:rPr>
		<w:t>专业: </w:t>
	</w:r>
	<w:r>
		<w:rPr></w:rPr>
		<w:t>语言学</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w:rPr>
		<w:t>学院: </w:t>
	</w:r>
	<w:r>
		<w:rPr></w:rPr>
		<w:t xml:space="preserve">北京语言大学 (2009 年 – 2009 年)</w:t>
	</w:r>
</w:p>
<w:p>
	<w:pPr>
		<w:pStyle w:val="Normal"/>
		<w:rPr>
			<w:rFonts w:ascii="Calibri" w:hAnsi="Calibri" w:cs="Calibri"/>
			<w:sz w:val="22"/>
			<w:szCs w:val="22"/>
			<w:lang w:bidi="ru-RU"/>
		</w:rPr>
	</w:pPr>
	<w:r>
		<w:rPr></w:rPr>
		<w:t>专业: </w:t>
	</w:r>
	<w:r>
		<w:rPr></w:rPr>
		<w:t>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w:rPr>
		<w:t>学院: </w:t>
	</w:r>
	<w:r>
		<w:rPr></w:rPr>
		<w:t xml:space="preserve">北京语言大学 (2008 年 – 2008 年)</w:t>
	</w:r>
</w:p>
<w:p>
	<w:pPr>
		<w:pStyle w:val="Normal"/>
		<w:rPr>
			<w:rFonts w:ascii="Calibri" w:hAnsi="Calibri" w:cs="Calibri"/>
			<w:sz w:val="22"/>
			<w:szCs w:val="22"/>
			<w:lang w:bidi="ru-RU"/>
		</w:rPr>
	</w:pPr>
	<w:r>
		<w:rPr></w:rPr>
		<w:t>专业: </w:t>
	</w:r>
	<w:r>
		<w:rPr></w:rPr>
		<w:t>汉语</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pic:cNvPr>
                                                            <pic:cNvPicPr>
                                                                <a:picLocks noChangeAspect="1" noChangeArrowheads="1"/>
                                                            </pic:cNvPicPr>
                                                        </pic:nvPicPr>
                                                        <pic:blipFill>
                                                            <a:blip r:embed="rId3"></a:blip>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https://www.ezhongfanyi.com/translators/syuy-marina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lin w14:ang="8100000" w14:scaled="0"></w14:lin>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w:rPr>
                                    <w:drawing>
                                        <wp:inline distT="0" distB="0" distL="0" distR="0">
                                            <wp:extent cx="628650" cy="628650"/>
                                            <wp:effectExtent l="0" t="0" r="0" b="0"/>
                                            <wp:docPr id="3" name="Рисунок 1" descr=""></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pic:cNvPr>
                                                                <pic:cNvPicPr>
                                                                    <a:picLocks noChangeAspect="1" noChangeArrowheads="1"/>
                                                                </pic:cNvPicPr>
                                                            </pic:nvPicPr>
                                                            <pic:blipFill>
                                                                <a:blip r:embed="rId4"></a:blip>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w:rPr>
                                        <w:drawing>
                                            <wp:inline distT="0" distB="0" distL="0" distR="0">
                                                <wp:extent cx="638175" cy="638175"/>
                                                <wp:effectExtent l="0" t="0" r="0" b="0"/>
                                                <wp:docPr id="4" name="Изображение1" descr=""></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pic:cNvPr>
                                                                    <pic:cNvPicPr>
                                                                        <a:picLocks noChangeAspect="1" noChangeArrowheads="1"/>
                                                                    </pic:cNvPicPr>
                                                                </pic:nvPicPr>
                                                                <pic:blipFill>
                                                                    <a:blip r:embed="rId5"></a:blip>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w:rPr>
                                            <w:drawing>
                                                <wp:inline distT="0" distB="0" distL="0" distR="0">
                                                    <wp:extent cx="598805" cy="628650"/>
                                                    <wp:effectExtent l="0" t="0" r="0" b="0"/>
                                                    <wp:docPr id="5" name="Рисунок 3" descr=""></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pic:cNvPr>
                                                                        <pic:cNvPicPr>
                                                                            <a:picLocks noChangeAspect="1" noChangeArrowheads="1"/>
                                                                        </pic:cNvPicPr>
                                                                    </pic:nvPicPr>
                                                                    <pic:blipFill>
                                                                        <a:blip r:embed="rId6"></a:blip>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w:rPr>
                                                <w:drawing>
                                                    <wp:inline distT="0" distB="0" distL="0" distR="0">
                                                        <wp:extent cx="647700" cy="490855"/>
                                                        <wp:effectExtent l="0" t="0" r="0" b="0"/>
                                                        <wp:docPr id="6" name="Рисунок 4" descr=""></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pic:cNvPr>
                                                                            <pic:cNvPicPr>
                                                                                <a:picLocks noChangeAspect="1" noChangeArrowheads="1"/>
                                                                            </pic:cNvPicPr>
                                                                        </pic:nvPicPr>
                                                                        <pic:blipFill>
                                                                            <a:blip r:embed="rId7"></a:blip>
                                                                            <a:stretch>
                                                                                <a:fillRect/>
                                                                            </a:stretch>
                                                                        </pic:blipFill>
                                                                        <pic:spPr bwMode="auto">
                                                                            <a:xfrm>
                                                                                <a:off x="0" y="0"/>
                                                                                <a:ext cx="647700" cy="490855"/>
                                                                            </a:xfrm>
                                                                            <a:prstGeom prst="rect">
                                                                                <a:avLst/>
                                                                            </a:prstGeom>
                                                                        </pic:spPr>
                                                                    </pic:pic>
                                                                </a:graphicData>
                                                            </a:graphic>
                                                        </wp:inline>
                                                    </w:drawing>
                                                </w:r>
                                            </w:p>
                                        </w:tc>
                                    </w:tr>
                                    <w:tr>
                                        <w:trPr></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w14:lumMod>
                                                                            <w14:lumOff w14:val="50000"></w14:lumOff>
                                                                            <w14:shade w14:val="30000"></w14:shade>
                                                                            <w14:satMod w14:val="115000"></w14:satMod>
                                                                        </w14:schemeClr>
                                                                    </w14:gs>
                                                                    <w14:gs w14:pos="50000">
                                                                        <w14:schemeClr w14:val="tx2">
                                                                            <w14:lumMod w14:val="50000"></w14:lumMod>
                                                                            <w14:lumOff w14:val="50000"></w14:lumOff>
                                                                            <w14:shade w14:val="67500"></w14:shade>
                                                                            <w14:satMod w14:val="115000"></w14:satMod>
                                                                        </w14:schemeClr>
                                                                    </w14:gs>
                                                                    <w14:gs w14:pos="100000">
                                                                        <w14:schemeClr w14:val="tx2">
                                                                            <w14:lumMod w14:val="50000"></w14:lumMod>
                                                                            <w14:lumOff w14:val="50000"></w14:lumOff>
                                                                            <w14:shade w14:val="100000"></w14:shade>
                                                                            <w14:satMod w14:val="115000"></w14:satMod>
                                                                        </w14:schemeClr>
                                                                    </w14:gs>
                                                                </w14:gsLst>
                                                                <w14:path w14:path="circle">
                                                                    <w14:fillToRect w14:l="100000" w14:t="100000" w14:r="0" w14:b="0"></w14:fillToRect>
                                                                </w14:path>
                                                            </w14:gradFill>
                                                        </w14:textFill>
                                                    </w:rPr>
                                                    <w:t>速度和便利</w:t>
                                                </w:r>
                                            </w:p>
                                        </w:tc>
                                    </w:tr>
                                    <w:tr>
                                        <w:trPr></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